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F6" w:rsidRPr="000A08FC" w:rsidRDefault="00384AF6" w:rsidP="00384AF6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0A08FC">
        <w:rPr>
          <w:rFonts w:ascii="Times New Roman" w:eastAsia="Times New Roman" w:hAnsi="Times New Roman"/>
          <w:lang w:val="sr-Latn-RS"/>
        </w:rPr>
        <w:t>РЕПУБЛИКА СРБИЈА</w:t>
      </w:r>
    </w:p>
    <w:p w:rsidR="00384AF6" w:rsidRPr="000A08FC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Latn-RS"/>
        </w:rPr>
      </w:pPr>
      <w:r w:rsidRPr="000A08FC">
        <w:rPr>
          <w:rFonts w:ascii="Times New Roman" w:eastAsia="Times New Roman" w:hAnsi="Times New Roman"/>
          <w:lang w:val="sr-Latn-RS"/>
        </w:rPr>
        <w:t>Град Врање</w:t>
      </w:r>
    </w:p>
    <w:p w:rsidR="00384AF6" w:rsidRPr="000A08FC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Latn-RS"/>
        </w:rPr>
      </w:pPr>
      <w:r w:rsidRPr="000A08FC">
        <w:rPr>
          <w:rFonts w:ascii="Times New Roman" w:eastAsia="Times New Roman" w:hAnsi="Times New Roman"/>
          <w:lang w:val="sr-Latn-RS"/>
        </w:rPr>
        <w:t>Центар за социјални рад Врање</w:t>
      </w:r>
    </w:p>
    <w:p w:rsidR="00384AF6" w:rsidRPr="00497F7F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Cyrl-RS"/>
        </w:rPr>
      </w:pPr>
      <w:r w:rsidRPr="000A08FC">
        <w:rPr>
          <w:rFonts w:ascii="Times New Roman" w:eastAsia="Times New Roman" w:hAnsi="Times New Roman"/>
          <w:lang w:val="sr-Latn-RS"/>
        </w:rPr>
        <w:t xml:space="preserve">Број: </w:t>
      </w:r>
      <w:r w:rsidR="00497F7F">
        <w:rPr>
          <w:rFonts w:ascii="Times New Roman" w:eastAsia="Times New Roman" w:hAnsi="Times New Roman"/>
          <w:lang w:val="sr-Cyrl-RS"/>
        </w:rPr>
        <w:t>551-14-3308/2024</w:t>
      </w:r>
    </w:p>
    <w:p w:rsidR="00384AF6" w:rsidRPr="000A08FC" w:rsidRDefault="00384AF6" w:rsidP="00384AF6">
      <w:pPr>
        <w:spacing w:after="0" w:line="240" w:lineRule="auto"/>
        <w:ind w:left="86" w:hanging="86"/>
        <w:rPr>
          <w:rFonts w:ascii="Times New Roman" w:eastAsia="Times New Roman" w:hAnsi="Times New Roman"/>
          <w:lang w:val="sr-Latn-RS"/>
        </w:rPr>
      </w:pPr>
      <w:r>
        <w:rPr>
          <w:rFonts w:ascii="Times New Roman" w:eastAsia="Times New Roman" w:hAnsi="Times New Roman"/>
          <w:lang w:val="sr-Latn-RS"/>
        </w:rPr>
        <w:t xml:space="preserve">Датум: </w:t>
      </w:r>
      <w:r>
        <w:rPr>
          <w:rFonts w:ascii="Times New Roman" w:eastAsia="Times New Roman" w:hAnsi="Times New Roman"/>
          <w:lang w:val="sr-Cyrl-RS"/>
        </w:rPr>
        <w:t>26</w:t>
      </w:r>
      <w:r>
        <w:rPr>
          <w:rFonts w:ascii="Times New Roman" w:eastAsia="Times New Roman" w:hAnsi="Times New Roman"/>
          <w:lang w:val="sr-Latn-RS"/>
        </w:rPr>
        <w:t>.</w:t>
      </w:r>
      <w:r>
        <w:rPr>
          <w:rFonts w:ascii="Times New Roman" w:eastAsia="Times New Roman" w:hAnsi="Times New Roman"/>
          <w:lang w:val="sr-Cyrl-RS"/>
        </w:rPr>
        <w:t>12</w:t>
      </w:r>
      <w:r w:rsidRPr="000A08FC">
        <w:rPr>
          <w:rFonts w:ascii="Times New Roman" w:eastAsia="Times New Roman" w:hAnsi="Times New Roman"/>
          <w:lang w:val="sr-Latn-RS"/>
        </w:rPr>
        <w:t xml:space="preserve">.2024                                                                                       </w:t>
      </w:r>
    </w:p>
    <w:p w:rsidR="00384AF6" w:rsidRPr="000A08FC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Latn-RS"/>
        </w:rPr>
      </w:pPr>
      <w:r w:rsidRPr="000A08FC">
        <w:rPr>
          <w:rFonts w:ascii="Times New Roman" w:eastAsia="Times New Roman" w:hAnsi="Times New Roman"/>
          <w:lang w:val="sr-Latn-RS"/>
        </w:rPr>
        <w:t>Адреса: Задарска 2</w:t>
      </w:r>
    </w:p>
    <w:p w:rsidR="00384AF6" w:rsidRPr="000A08FC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Latn-RS"/>
        </w:rPr>
      </w:pPr>
      <w:r w:rsidRPr="000A08FC">
        <w:rPr>
          <w:rFonts w:ascii="Times New Roman" w:eastAsia="Times New Roman" w:hAnsi="Times New Roman"/>
          <w:lang w:val="sr-Latn-RS"/>
        </w:rPr>
        <w:t>Број телефона: 017/423-905</w:t>
      </w:r>
    </w:p>
    <w:p w:rsidR="00384AF6" w:rsidRPr="000A08FC" w:rsidRDefault="00384AF6" w:rsidP="00384AF6">
      <w:pPr>
        <w:spacing w:after="0" w:line="240" w:lineRule="auto"/>
        <w:ind w:left="86" w:hanging="86"/>
        <w:jc w:val="both"/>
        <w:rPr>
          <w:rFonts w:ascii="Times New Roman" w:eastAsia="Times New Roman" w:hAnsi="Times New Roman"/>
          <w:lang w:val="sr-Latn-RS"/>
        </w:rPr>
      </w:pPr>
      <w:r w:rsidRPr="000A08FC">
        <w:rPr>
          <w:rFonts w:ascii="Times New Roman" w:eastAsia="Times New Roman" w:hAnsi="Times New Roman"/>
          <w:lang w:val="sr-Latn-RS"/>
        </w:rPr>
        <w:t>Меил адреса: vranje.csr@minrzs.gov.rs</w:t>
      </w:r>
    </w:p>
    <w:p w:rsidR="00A52B0A" w:rsidRDefault="00A52B0A" w:rsidP="00A52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0D7" w:rsidRPr="00A52B0A" w:rsidRDefault="00A52B0A" w:rsidP="00A52B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A52B0A">
        <w:rPr>
          <w:rFonts w:ascii="Times New Roman" w:hAnsi="Times New Roman"/>
          <w:sz w:val="24"/>
          <w:szCs w:val="24"/>
        </w:rPr>
        <w:t>На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основу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чл</w:t>
      </w:r>
      <w:r w:rsidR="00CB00D7" w:rsidRPr="00A52B0A">
        <w:rPr>
          <w:rFonts w:ascii="Times New Roman" w:hAnsi="Times New Roman"/>
          <w:sz w:val="24"/>
          <w:szCs w:val="24"/>
        </w:rPr>
        <w:t xml:space="preserve">. 21. </w:t>
      </w:r>
      <w:r w:rsidRPr="00A52B0A">
        <w:rPr>
          <w:rFonts w:ascii="Times New Roman" w:hAnsi="Times New Roman"/>
          <w:sz w:val="24"/>
          <w:szCs w:val="24"/>
        </w:rPr>
        <w:t>и</w:t>
      </w:r>
      <w:r w:rsidR="00CB00D7" w:rsidRPr="00A52B0A">
        <w:rPr>
          <w:rFonts w:ascii="Times New Roman" w:hAnsi="Times New Roman"/>
          <w:sz w:val="24"/>
          <w:szCs w:val="24"/>
        </w:rPr>
        <w:t xml:space="preserve"> 23. </w:t>
      </w:r>
      <w:r w:rsidRPr="00A52B0A">
        <w:rPr>
          <w:rFonts w:ascii="Times New Roman" w:hAnsi="Times New Roman"/>
          <w:sz w:val="24"/>
          <w:szCs w:val="24"/>
        </w:rPr>
        <w:t>Закона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о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родној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равноправности</w:t>
      </w:r>
      <w:r w:rsidR="00CB00D7" w:rsidRPr="00A52B0A">
        <w:rPr>
          <w:rFonts w:ascii="Times New Roman" w:hAnsi="Times New Roman"/>
          <w:sz w:val="24"/>
          <w:szCs w:val="24"/>
        </w:rPr>
        <w:t xml:space="preserve"> (“</w:t>
      </w:r>
      <w:r w:rsidRPr="00A52B0A">
        <w:rPr>
          <w:rFonts w:ascii="Times New Roman" w:hAnsi="Times New Roman"/>
          <w:sz w:val="24"/>
          <w:szCs w:val="24"/>
        </w:rPr>
        <w:t>Службени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гласник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РС</w:t>
      </w:r>
      <w:r w:rsidR="00CB00D7" w:rsidRPr="00A52B0A">
        <w:rPr>
          <w:rFonts w:ascii="Times New Roman" w:hAnsi="Times New Roman"/>
          <w:sz w:val="24"/>
          <w:szCs w:val="24"/>
        </w:rPr>
        <w:t xml:space="preserve">”, </w:t>
      </w:r>
      <w:r w:rsidRPr="00A52B0A">
        <w:rPr>
          <w:rFonts w:ascii="Times New Roman" w:hAnsi="Times New Roman"/>
          <w:sz w:val="24"/>
          <w:szCs w:val="24"/>
        </w:rPr>
        <w:t>број</w:t>
      </w:r>
      <w:r w:rsidR="00CB00D7" w:rsidRPr="00A52B0A">
        <w:rPr>
          <w:rFonts w:ascii="Times New Roman" w:hAnsi="Times New Roman"/>
          <w:sz w:val="24"/>
          <w:szCs w:val="24"/>
        </w:rPr>
        <w:t xml:space="preserve"> 52/2021, </w:t>
      </w:r>
      <w:r w:rsidRPr="00A52B0A">
        <w:rPr>
          <w:rFonts w:ascii="Times New Roman" w:hAnsi="Times New Roman"/>
          <w:sz w:val="24"/>
          <w:szCs w:val="24"/>
        </w:rPr>
        <w:t>даље</w:t>
      </w:r>
      <w:r w:rsidR="00CB00D7" w:rsidRPr="00A52B0A">
        <w:rPr>
          <w:rFonts w:ascii="Times New Roman" w:hAnsi="Times New Roman"/>
          <w:sz w:val="24"/>
          <w:szCs w:val="24"/>
        </w:rPr>
        <w:t xml:space="preserve">: </w:t>
      </w:r>
      <w:r w:rsidRPr="00A52B0A">
        <w:rPr>
          <w:rFonts w:ascii="Times New Roman" w:hAnsi="Times New Roman"/>
          <w:sz w:val="24"/>
          <w:szCs w:val="24"/>
        </w:rPr>
        <w:t>Закон</w:t>
      </w:r>
      <w:r w:rsidR="00CB00D7" w:rsidRPr="00A52B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</w:t>
      </w:r>
      <w:r w:rsidRPr="00AA4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AA4BC0">
        <w:rPr>
          <w:rFonts w:ascii="Times New Roman" w:hAnsi="Times New Roman"/>
          <w:sz w:val="24"/>
          <w:szCs w:val="24"/>
        </w:rPr>
        <w:t xml:space="preserve"> </w:t>
      </w:r>
      <w:r w:rsidR="00384AF6">
        <w:rPr>
          <w:rFonts w:ascii="Times New Roman" w:hAnsi="Times New Roman"/>
          <w:sz w:val="24"/>
          <w:szCs w:val="24"/>
        </w:rPr>
        <w:t>31</w:t>
      </w:r>
      <w:r w:rsidRPr="00AA4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Статута Центра за социјални рад </w:t>
      </w:r>
      <w:r w:rsidR="00C03FC2">
        <w:rPr>
          <w:rFonts w:ascii="Times New Roman" w:hAnsi="Times New Roman"/>
          <w:sz w:val="24"/>
          <w:szCs w:val="24"/>
          <w:lang w:val="sr-Cyrl-RS"/>
        </w:rPr>
        <w:t>Врање</w:t>
      </w:r>
      <w:r w:rsidRPr="00AA4B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директор</w:t>
      </w:r>
      <w:r w:rsidR="00384AF6">
        <w:rPr>
          <w:rFonts w:ascii="Times New Roman" w:hAnsi="Times New Roman"/>
          <w:sz w:val="24"/>
          <w:szCs w:val="24"/>
          <w:lang w:val="sr-Cyrl-RS"/>
        </w:rPr>
        <w:t>ка</w:t>
      </w:r>
      <w:r>
        <w:rPr>
          <w:rFonts w:ascii="Times New Roman" w:hAnsi="Times New Roman"/>
          <w:sz w:val="24"/>
          <w:szCs w:val="24"/>
          <w:lang w:val="sr-Cyrl-RS"/>
        </w:rPr>
        <w:t xml:space="preserve"> Центра за социјални рад </w:t>
      </w:r>
      <w:r w:rsidR="00C03FC2">
        <w:rPr>
          <w:rFonts w:ascii="Times New Roman" w:hAnsi="Times New Roman"/>
          <w:sz w:val="24"/>
          <w:szCs w:val="24"/>
          <w:lang w:val="sr-Cyrl-RS"/>
        </w:rPr>
        <w:t>Врање</w:t>
      </w:r>
      <w:r w:rsidR="00C50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00D7" w:rsidRPr="00A52B0A">
        <w:rPr>
          <w:rFonts w:ascii="Times New Roman" w:hAnsi="Times New Roman"/>
          <w:sz w:val="24"/>
          <w:szCs w:val="24"/>
        </w:rPr>
        <w:t>(</w:t>
      </w:r>
      <w:r w:rsidRPr="00A52B0A">
        <w:rPr>
          <w:rFonts w:ascii="Times New Roman" w:hAnsi="Times New Roman"/>
          <w:sz w:val="24"/>
          <w:szCs w:val="24"/>
        </w:rPr>
        <w:t>даље</w:t>
      </w:r>
      <w:r w:rsidR="00CB00D7" w:rsidRPr="00A52B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Центар )</w:t>
      </w:r>
      <w:r w:rsidR="00CB00D7" w:rsidRPr="00A52B0A">
        <w:rPr>
          <w:rFonts w:ascii="Times New Roman" w:hAnsi="Times New Roman"/>
          <w:sz w:val="24"/>
          <w:szCs w:val="24"/>
        </w:rPr>
        <w:t xml:space="preserve">, </w:t>
      </w:r>
      <w:r w:rsidRPr="00A52B0A">
        <w:rPr>
          <w:rFonts w:ascii="Times New Roman" w:hAnsi="Times New Roman"/>
          <w:sz w:val="24"/>
          <w:szCs w:val="24"/>
        </w:rPr>
        <w:t>дана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="00384AF6">
        <w:rPr>
          <w:rFonts w:ascii="Times New Roman" w:hAnsi="Times New Roman"/>
          <w:sz w:val="24"/>
          <w:szCs w:val="24"/>
          <w:lang w:val="sr-Cyrl-RS"/>
        </w:rPr>
        <w:t>26</w:t>
      </w:r>
      <w:r w:rsidR="00A64F47">
        <w:rPr>
          <w:rFonts w:ascii="Times New Roman" w:hAnsi="Times New Roman"/>
          <w:sz w:val="24"/>
          <w:szCs w:val="24"/>
          <w:lang w:val="sr-Cyrl-RS"/>
        </w:rPr>
        <w:t>.12.</w:t>
      </w:r>
      <w:r w:rsidR="00C50162">
        <w:rPr>
          <w:rFonts w:ascii="Times New Roman" w:hAnsi="Times New Roman"/>
          <w:sz w:val="24"/>
          <w:szCs w:val="24"/>
        </w:rPr>
        <w:t>20</w:t>
      </w:r>
      <w:r w:rsidR="00384AF6">
        <w:rPr>
          <w:rFonts w:ascii="Times New Roman" w:hAnsi="Times New Roman"/>
          <w:sz w:val="24"/>
          <w:szCs w:val="24"/>
          <w:lang w:val="sr-Cyrl-RS"/>
        </w:rPr>
        <w:t>24</w:t>
      </w:r>
      <w:r w:rsidR="00C50162">
        <w:rPr>
          <w:rFonts w:ascii="Times New Roman" w:hAnsi="Times New Roman"/>
          <w:sz w:val="24"/>
          <w:szCs w:val="24"/>
          <w:lang w:val="sr-Cyrl-RS"/>
        </w:rPr>
        <w:t>.</w:t>
      </w:r>
      <w:r w:rsidR="00CB00D7" w:rsidRPr="00A52B0A">
        <w:rPr>
          <w:rFonts w:ascii="Times New Roman" w:hAnsi="Times New Roman"/>
          <w:sz w:val="24"/>
          <w:szCs w:val="24"/>
        </w:rPr>
        <w:t xml:space="preserve"> </w:t>
      </w:r>
      <w:r w:rsidRPr="00A52B0A">
        <w:rPr>
          <w:rFonts w:ascii="Times New Roman" w:hAnsi="Times New Roman"/>
          <w:sz w:val="24"/>
          <w:szCs w:val="24"/>
        </w:rPr>
        <w:t>године</w:t>
      </w:r>
      <w:r w:rsidR="00CB00D7" w:rsidRPr="00A52B0A">
        <w:rPr>
          <w:rFonts w:ascii="Times New Roman" w:hAnsi="Times New Roman"/>
          <w:sz w:val="24"/>
          <w:szCs w:val="24"/>
        </w:rPr>
        <w:t xml:space="preserve">, </w:t>
      </w:r>
      <w:r w:rsidRPr="00A52B0A">
        <w:rPr>
          <w:rFonts w:ascii="Times New Roman" w:hAnsi="Times New Roman"/>
          <w:sz w:val="24"/>
          <w:szCs w:val="24"/>
        </w:rPr>
        <w:t>доноси</w:t>
      </w: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A52B0A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CB00D7" w:rsidRDefault="00A52B0A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  <w:r w:rsidRPr="00A52B0A">
        <w:rPr>
          <w:rFonts w:ascii="Times New Roman" w:hAnsi="Times New Roman"/>
          <w:b/>
          <w:bCs/>
          <w:sz w:val="32"/>
          <w:szCs w:val="32"/>
        </w:rPr>
        <w:t>П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Л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А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Н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br/>
      </w:r>
      <w:r w:rsidRPr="00A52B0A">
        <w:rPr>
          <w:rFonts w:ascii="Times New Roman" w:hAnsi="Times New Roman"/>
          <w:b/>
          <w:bCs/>
          <w:sz w:val="32"/>
          <w:szCs w:val="32"/>
        </w:rPr>
        <w:t>УПРАВЉАЊА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РИЗИЦИМА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ОД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ПОВРЕДЕ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ПРИНЦИПА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br/>
      </w:r>
      <w:r w:rsidRPr="00A52B0A">
        <w:rPr>
          <w:rFonts w:ascii="Times New Roman" w:hAnsi="Times New Roman"/>
          <w:b/>
          <w:bCs/>
          <w:sz w:val="32"/>
          <w:szCs w:val="32"/>
        </w:rPr>
        <w:t>РОДНЕ</w:t>
      </w:r>
      <w:r w:rsidR="00CB00D7" w:rsidRPr="00A52B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52B0A">
        <w:rPr>
          <w:rFonts w:ascii="Times New Roman" w:hAnsi="Times New Roman"/>
          <w:b/>
          <w:bCs/>
          <w:sz w:val="32"/>
          <w:szCs w:val="32"/>
        </w:rPr>
        <w:t>РАВНОПРАВНОСТИ</w:t>
      </w: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P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C50162" w:rsidRDefault="00C5016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C50162" w:rsidRDefault="00C5016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C50162" w:rsidRDefault="00C5016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B14FE2" w:rsidRDefault="00B14FE2" w:rsidP="00A52B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CB00D7" w:rsidRPr="004F4076" w:rsidRDefault="00A52B0A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F4076">
        <w:rPr>
          <w:rFonts w:ascii="Times New Roman" w:hAnsi="Times New Roman"/>
          <w:b/>
          <w:bCs/>
          <w:sz w:val="24"/>
          <w:szCs w:val="24"/>
        </w:rPr>
        <w:t>Уводне</w:t>
      </w:r>
      <w:r w:rsidR="00CB00D7" w:rsidRPr="004F40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076">
        <w:rPr>
          <w:rFonts w:ascii="Times New Roman" w:hAnsi="Times New Roman"/>
          <w:b/>
          <w:bCs/>
          <w:sz w:val="24"/>
          <w:szCs w:val="24"/>
        </w:rPr>
        <w:t>одредбе</w:t>
      </w:r>
    </w:p>
    <w:p w:rsidR="00CB00D7" w:rsidRDefault="00CB00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B00D7" w:rsidRPr="004F4076" w:rsidRDefault="00A52B0A" w:rsidP="004F4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076">
        <w:rPr>
          <w:rFonts w:ascii="Times New Roman" w:hAnsi="Times New Roman"/>
          <w:sz w:val="24"/>
          <w:szCs w:val="24"/>
        </w:rPr>
        <w:t>Родна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равноправност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подразумева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једнака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права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одговорности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могућности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равномерно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учешће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уравнотежену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заступљеност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жена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мушкараца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свим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областима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друштвеног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живота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једнаке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могућности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остваривање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права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слобода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коришћење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личних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знања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способности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лични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развој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развој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друштва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једнаке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могућности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права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приступу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робама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услугама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као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остваривање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једнаке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користи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од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резултата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рада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уз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уважавање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биолошких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друштвених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културолошки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формираних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разлика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између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мушкараца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жена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различитих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интереса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потреба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приоритета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жена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мушкараца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приликом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доношења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јавних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других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политика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одлучивања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правима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обавезама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на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закону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заснованим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одредбама</w:t>
      </w:r>
      <w:r w:rsidR="00CB00D7" w:rsidRPr="004F4076">
        <w:rPr>
          <w:rFonts w:ascii="Times New Roman" w:hAnsi="Times New Roman"/>
          <w:sz w:val="24"/>
          <w:szCs w:val="24"/>
        </w:rPr>
        <w:t xml:space="preserve">, </w:t>
      </w:r>
      <w:r w:rsidRPr="004F4076">
        <w:rPr>
          <w:rFonts w:ascii="Times New Roman" w:hAnsi="Times New Roman"/>
          <w:sz w:val="24"/>
          <w:szCs w:val="24"/>
        </w:rPr>
        <w:t>као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и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уставним</w:t>
      </w:r>
      <w:r w:rsidR="00CB00D7" w:rsidRPr="004F4076">
        <w:rPr>
          <w:rFonts w:ascii="Times New Roman" w:hAnsi="Times New Roman"/>
          <w:sz w:val="24"/>
          <w:szCs w:val="24"/>
        </w:rPr>
        <w:t xml:space="preserve"> </w:t>
      </w:r>
      <w:r w:rsidRPr="004F4076">
        <w:rPr>
          <w:rFonts w:ascii="Times New Roman" w:hAnsi="Times New Roman"/>
          <w:sz w:val="24"/>
          <w:szCs w:val="24"/>
        </w:rPr>
        <w:t>одредбама</w:t>
      </w:r>
      <w:r w:rsidR="00CB00D7" w:rsidRPr="004F4076">
        <w:rPr>
          <w:rFonts w:ascii="Times New Roman" w:hAnsi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јесте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неоправдано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разликовање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неједнако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пропуштање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(</w:t>
      </w:r>
      <w:r w:rsidRPr="004F4076">
        <w:rPr>
          <w:rFonts w:ascii="Times New Roman" w:hAnsi="Times New Roman" w:cs="Times New Roman"/>
          <w:sz w:val="24"/>
          <w:szCs w:val="24"/>
        </w:rPr>
        <w:t>искључивање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ограничавање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првенства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),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отворен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прикривен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начин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односу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групе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засновано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: </w:t>
      </w:r>
      <w:r w:rsidRPr="004F4076">
        <w:rPr>
          <w:rFonts w:ascii="Times New Roman" w:hAnsi="Times New Roman" w:cs="Times New Roman"/>
          <w:sz w:val="24"/>
          <w:szCs w:val="24"/>
        </w:rPr>
        <w:t>образовној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економској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запошљавања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занимања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самозапошљавања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здравственом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осигурању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заштити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социјалном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осигурању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заштити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безбедности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екологији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културе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спорту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рекреацији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као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другим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областима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друштвеног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живота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Непосредна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постоји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група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због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њиховог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истој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сличној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ситуацији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било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којим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актом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радњом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пропуштањем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стављају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стављени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неповољнији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положај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могли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стављени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неповољнији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положај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Посредна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постоји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изглед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неутрална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одредба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критеријум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пракса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лице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групу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ставља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могла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ставити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због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њиховог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неповољан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положај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поређењу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другим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истој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сличној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ситуацији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осим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је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објективно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оправдано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законитим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циљем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средства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постизање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циља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примерена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нужна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постоји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према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групи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неоправдано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неповољније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него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што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поступало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према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другима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искључиво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углавном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због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тога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што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тражили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намеравају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траже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заштиту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због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тога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што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понудили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намеравају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понуде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доказе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дискриминаторском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поступању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Дискриминацијом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сматра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узнемиравање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понижавајуће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претње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условљавање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сексуално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узнемиравање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сексуално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уцењивање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родно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заснован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говор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мржње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насиље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засновано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промени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насиље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према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женама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неједнако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поступање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трудноће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породиљског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одсуства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одсуства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неге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детета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одсуства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посебне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неге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детета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својству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очинства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материнства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(</w:t>
      </w:r>
      <w:r w:rsidRPr="004F4076">
        <w:rPr>
          <w:rFonts w:ascii="Times New Roman" w:hAnsi="Times New Roman" w:cs="Times New Roman"/>
          <w:sz w:val="24"/>
          <w:szCs w:val="24"/>
        </w:rPr>
        <w:t>родитељства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), </w:t>
      </w:r>
      <w:r w:rsidRPr="004F4076">
        <w:rPr>
          <w:rFonts w:ascii="Times New Roman" w:hAnsi="Times New Roman" w:cs="Times New Roman"/>
          <w:sz w:val="24"/>
          <w:szCs w:val="24"/>
        </w:rPr>
        <w:t>усвојења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хранитељства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старатељства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подстицање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сваки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неповољнији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третман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који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због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одбијања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трпљења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таквог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понашања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забрањена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је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односу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: </w:t>
      </w:r>
      <w:r w:rsidRPr="004F4076">
        <w:rPr>
          <w:rFonts w:ascii="Times New Roman" w:hAnsi="Times New Roman" w:cs="Times New Roman"/>
          <w:sz w:val="24"/>
          <w:szCs w:val="24"/>
        </w:rPr>
        <w:t>услове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запошљавање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избор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кандидата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обављање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одређеног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услове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права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из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радног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односа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образовање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оспособљавање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усавршавање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напредовање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послу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; </w:t>
      </w:r>
      <w:r w:rsidRPr="004F4076">
        <w:rPr>
          <w:rFonts w:ascii="Times New Roman" w:hAnsi="Times New Roman" w:cs="Times New Roman"/>
          <w:sz w:val="24"/>
          <w:szCs w:val="24"/>
        </w:rPr>
        <w:t>отказ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уговора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lastRenderedPageBreak/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више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личних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својстава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без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обзира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то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утицај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поједних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личних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својстава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може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разграничити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је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вишеструка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или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може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разграничити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(</w:t>
      </w:r>
      <w:r w:rsidRPr="004F4076">
        <w:rPr>
          <w:rFonts w:ascii="Times New Roman" w:hAnsi="Times New Roman" w:cs="Times New Roman"/>
          <w:sz w:val="24"/>
          <w:szCs w:val="24"/>
        </w:rPr>
        <w:t>интерсексијска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дискриминација</w:t>
      </w:r>
      <w:r w:rsidR="00CB00D7" w:rsidRPr="004F4076">
        <w:rPr>
          <w:rFonts w:ascii="Times New Roman" w:hAnsi="Times New Roman" w:cs="Times New Roman"/>
          <w:sz w:val="24"/>
          <w:szCs w:val="24"/>
        </w:rPr>
        <w:t>).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сматрају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мере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заштиту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материнства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очинства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(</w:t>
      </w:r>
      <w:r w:rsidRPr="004F4076">
        <w:rPr>
          <w:rFonts w:ascii="Times New Roman" w:hAnsi="Times New Roman" w:cs="Times New Roman"/>
          <w:sz w:val="24"/>
          <w:szCs w:val="24"/>
        </w:rPr>
        <w:t>родитељства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), </w:t>
      </w:r>
      <w:r w:rsidRPr="004F4076">
        <w:rPr>
          <w:rFonts w:ascii="Times New Roman" w:hAnsi="Times New Roman" w:cs="Times New Roman"/>
          <w:sz w:val="24"/>
          <w:szCs w:val="24"/>
        </w:rPr>
        <w:t>усвојења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хранитељства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старатељства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као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заштита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запослених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различитог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складу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прописима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којима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уређују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радни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односи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безбедност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здравље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посебне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мере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уведене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постизања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пуне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равноправности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заштите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напретка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групе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лица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која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налазе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неједнаком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положају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свог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Pr="004F4076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F4076">
        <w:rPr>
          <w:rFonts w:ascii="Times New Roman" w:hAnsi="Times New Roman" w:cs="Times New Roman"/>
          <w:sz w:val="24"/>
          <w:szCs w:val="24"/>
        </w:rPr>
        <w:t>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сматрају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дискриминацијом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основу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полних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карактеристика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односно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рода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</w:rPr>
        <w:t>посебне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мере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донете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ради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отклањања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спречавања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неједнаког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положаја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жена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мушкараца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остваривања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једнаких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могућности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жене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мушкарце</w:t>
      </w:r>
      <w:r w:rsidR="00CB00D7" w:rsidRPr="004F4076">
        <w:rPr>
          <w:rFonts w:ascii="Times New Roman" w:hAnsi="Times New Roman" w:cs="Times New Roman"/>
          <w:sz w:val="24"/>
          <w:szCs w:val="24"/>
        </w:rPr>
        <w:t>.</w:t>
      </w:r>
    </w:p>
    <w:p w:rsidR="00CB00D7" w:rsidRDefault="00A52B0A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F4076">
        <w:rPr>
          <w:rFonts w:ascii="Times New Roman" w:hAnsi="Times New Roman" w:cs="Times New Roman"/>
          <w:sz w:val="24"/>
          <w:szCs w:val="24"/>
        </w:rPr>
        <w:t>Законом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уређује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појам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значење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мере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политике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остваривања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унапређења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родне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равноправности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као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врсте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планских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аката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родне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равноправности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надзор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над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применом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Закона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друга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питања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од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значаја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за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остваривање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унапређење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родне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равноправности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.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Наведеним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законом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се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уређују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обавезе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органа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јавне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власти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,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послодаваца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других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социјалних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партнера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да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интегришу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родну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перспективу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области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којој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делују</w:t>
      </w:r>
      <w:r w:rsidR="00CB00D7" w:rsidRPr="004F4076">
        <w:rPr>
          <w:rFonts w:ascii="Times New Roman" w:hAnsi="Times New Roman" w:cs="Times New Roman"/>
          <w:sz w:val="24"/>
          <w:szCs w:val="24"/>
          <w:lang w:val="sr-Latn-CS" w:eastAsia="en-US"/>
        </w:rPr>
        <w:t>.</w:t>
      </w:r>
    </w:p>
    <w:p w:rsidR="003D0A9C" w:rsidRPr="003D0A9C" w:rsidRDefault="003D0A9C" w:rsidP="004F4076">
      <w:pPr>
        <w:pStyle w:val="bodytext0"/>
        <w:spacing w:before="0"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0D7" w:rsidRPr="003D0A9C" w:rsidRDefault="00A52B0A" w:rsidP="003D0A9C">
      <w:pPr>
        <w:pStyle w:val="bodytext0"/>
        <w:numPr>
          <w:ilvl w:val="0"/>
          <w:numId w:val="2"/>
        </w:numPr>
        <w:spacing w:before="0" w:after="0"/>
        <w:ind w:left="346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  <w:lang w:val="sr-Latn-CS" w:eastAsia="en-US"/>
        </w:rPr>
        <w:t>Правни</w:t>
      </w:r>
      <w:r w:rsidR="00CB00D7" w:rsidRPr="003D0A9C">
        <w:rPr>
          <w:rFonts w:ascii="Times New Roman" w:hAnsi="Times New Roman" w:cs="Times New Roman"/>
          <w:b/>
          <w:sz w:val="24"/>
          <w:szCs w:val="24"/>
          <w:lang w:val="sr-Latn-CS" w:eastAsia="en-US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  <w:lang w:val="sr-Latn-CS" w:eastAsia="en-US"/>
        </w:rPr>
        <w:t>оквир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Устав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Републике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Србије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D7" w:rsidRPr="003D0A9C">
        <w:rPr>
          <w:rFonts w:ascii="Times New Roman" w:hAnsi="Times New Roman" w:cs="Times New Roman"/>
          <w:sz w:val="24"/>
          <w:szCs w:val="24"/>
        </w:rPr>
        <w:t>(“</w:t>
      </w:r>
      <w:r w:rsidRPr="003D0A9C">
        <w:rPr>
          <w:rFonts w:ascii="Times New Roman" w:hAnsi="Times New Roman" w:cs="Times New Roman"/>
          <w:sz w:val="24"/>
          <w:szCs w:val="24"/>
        </w:rPr>
        <w:t>Службени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гласник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РС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”, </w:t>
      </w:r>
      <w:r w:rsidRPr="003D0A9C">
        <w:rPr>
          <w:rFonts w:ascii="Times New Roman" w:hAnsi="Times New Roman" w:cs="Times New Roman"/>
          <w:sz w:val="24"/>
          <w:szCs w:val="24"/>
        </w:rPr>
        <w:t>бр</w:t>
      </w:r>
      <w:r w:rsidR="00CB00D7" w:rsidRPr="003D0A9C">
        <w:rPr>
          <w:rFonts w:ascii="Times New Roman" w:hAnsi="Times New Roman" w:cs="Times New Roman"/>
          <w:sz w:val="24"/>
          <w:szCs w:val="24"/>
        </w:rPr>
        <w:t>. 98/2006);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Закон</w:t>
      </w:r>
      <w:r w:rsidR="003D0A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0A9C" w:rsidRPr="00A52B0A">
        <w:rPr>
          <w:rFonts w:ascii="Times New Roman" w:hAnsi="Times New Roman" w:cs="Times New Roman"/>
          <w:sz w:val="24"/>
          <w:szCs w:val="24"/>
        </w:rPr>
        <w:t>о родној равноправности (“Службени гласник РС”, број 52/2021</w:t>
      </w:r>
      <w:r w:rsidR="003D0A9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>;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Закон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забрани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дискриминације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D7" w:rsidRPr="003D0A9C">
        <w:rPr>
          <w:rFonts w:ascii="Times New Roman" w:hAnsi="Times New Roman" w:cs="Times New Roman"/>
          <w:sz w:val="24"/>
          <w:szCs w:val="24"/>
        </w:rPr>
        <w:t>("</w:t>
      </w:r>
      <w:r w:rsidRPr="003D0A9C">
        <w:rPr>
          <w:rFonts w:ascii="Times New Roman" w:hAnsi="Times New Roman" w:cs="Times New Roman"/>
          <w:sz w:val="24"/>
          <w:szCs w:val="24"/>
        </w:rPr>
        <w:t>Службени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гласник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РС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", </w:t>
      </w:r>
      <w:r w:rsidRPr="003D0A9C">
        <w:rPr>
          <w:rFonts w:ascii="Times New Roman" w:hAnsi="Times New Roman" w:cs="Times New Roman"/>
          <w:sz w:val="24"/>
          <w:szCs w:val="24"/>
        </w:rPr>
        <w:t>бр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. 22/2009 </w:t>
      </w:r>
      <w:r w:rsidRPr="003D0A9C">
        <w:rPr>
          <w:rFonts w:ascii="Times New Roman" w:hAnsi="Times New Roman" w:cs="Times New Roman"/>
          <w:sz w:val="24"/>
          <w:szCs w:val="24"/>
        </w:rPr>
        <w:t>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52/2021);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Закон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раду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D7" w:rsidRPr="003D0A9C">
        <w:rPr>
          <w:rFonts w:ascii="Times New Roman" w:hAnsi="Times New Roman" w:cs="Times New Roman"/>
          <w:sz w:val="24"/>
          <w:szCs w:val="24"/>
        </w:rPr>
        <w:t>(“</w:t>
      </w:r>
      <w:r w:rsidRPr="003D0A9C">
        <w:rPr>
          <w:rFonts w:ascii="Times New Roman" w:hAnsi="Times New Roman" w:cs="Times New Roman"/>
          <w:sz w:val="24"/>
          <w:szCs w:val="24"/>
        </w:rPr>
        <w:t>Службени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гласник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РС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”, </w:t>
      </w:r>
      <w:r w:rsidRPr="003D0A9C">
        <w:rPr>
          <w:rFonts w:ascii="Times New Roman" w:hAnsi="Times New Roman" w:cs="Times New Roman"/>
          <w:sz w:val="24"/>
          <w:szCs w:val="24"/>
        </w:rPr>
        <w:t>бр</w:t>
      </w:r>
      <w:r w:rsidR="00CB00D7" w:rsidRPr="003D0A9C">
        <w:rPr>
          <w:rFonts w:ascii="Times New Roman" w:hAnsi="Times New Roman" w:cs="Times New Roman"/>
          <w:sz w:val="24"/>
          <w:szCs w:val="24"/>
        </w:rPr>
        <w:t>. 24/2005, 61/2005, 54/2009, 32/2013, 75/2014, 13/2017 (</w:t>
      </w:r>
      <w:r w:rsidRPr="003D0A9C">
        <w:rPr>
          <w:rFonts w:ascii="Times New Roman" w:hAnsi="Times New Roman" w:cs="Times New Roman"/>
          <w:sz w:val="24"/>
          <w:szCs w:val="24"/>
        </w:rPr>
        <w:t>Одлука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УС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), 113/2017 </w:t>
      </w:r>
      <w:r w:rsidRPr="003D0A9C">
        <w:rPr>
          <w:rFonts w:ascii="Times New Roman" w:hAnsi="Times New Roman" w:cs="Times New Roman"/>
          <w:sz w:val="24"/>
          <w:szCs w:val="24"/>
        </w:rPr>
        <w:t>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95/2018 (</w:t>
      </w:r>
      <w:r w:rsidRPr="003D0A9C">
        <w:rPr>
          <w:rFonts w:ascii="Times New Roman" w:hAnsi="Times New Roman" w:cs="Times New Roman"/>
          <w:sz w:val="24"/>
          <w:szCs w:val="24"/>
        </w:rPr>
        <w:t>аутентично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тумачење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)); 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Закон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националном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оквиру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квалификација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Републике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Србије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D7" w:rsidRPr="003D0A9C">
        <w:rPr>
          <w:rFonts w:ascii="Times New Roman" w:hAnsi="Times New Roman" w:cs="Times New Roman"/>
          <w:sz w:val="24"/>
          <w:szCs w:val="24"/>
        </w:rPr>
        <w:t>(“</w:t>
      </w:r>
      <w:r w:rsidRPr="003D0A9C">
        <w:rPr>
          <w:rFonts w:ascii="Times New Roman" w:hAnsi="Times New Roman" w:cs="Times New Roman"/>
          <w:sz w:val="24"/>
          <w:szCs w:val="24"/>
        </w:rPr>
        <w:t>Службени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гласник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РС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”, </w:t>
      </w:r>
      <w:r w:rsidRPr="003D0A9C">
        <w:rPr>
          <w:rFonts w:ascii="Times New Roman" w:hAnsi="Times New Roman" w:cs="Times New Roman"/>
          <w:sz w:val="24"/>
          <w:szCs w:val="24"/>
        </w:rPr>
        <w:t>бр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. 27/2018, 6/2020 </w:t>
      </w:r>
      <w:r w:rsidRPr="003D0A9C">
        <w:rPr>
          <w:rFonts w:ascii="Times New Roman" w:hAnsi="Times New Roman" w:cs="Times New Roman"/>
          <w:sz w:val="24"/>
          <w:szCs w:val="24"/>
        </w:rPr>
        <w:t>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129/2021 (</w:t>
      </w:r>
      <w:r w:rsidRPr="003D0A9C">
        <w:rPr>
          <w:rFonts w:ascii="Times New Roman" w:hAnsi="Times New Roman" w:cs="Times New Roman"/>
          <w:sz w:val="24"/>
          <w:szCs w:val="24"/>
        </w:rPr>
        <w:t>др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. </w:t>
      </w:r>
      <w:r w:rsidRPr="003D0A9C">
        <w:rPr>
          <w:rFonts w:ascii="Times New Roman" w:hAnsi="Times New Roman" w:cs="Times New Roman"/>
          <w:sz w:val="24"/>
          <w:szCs w:val="24"/>
        </w:rPr>
        <w:t>закон</w:t>
      </w:r>
      <w:r w:rsidR="00CB00D7" w:rsidRPr="003D0A9C">
        <w:rPr>
          <w:rFonts w:ascii="Times New Roman" w:hAnsi="Times New Roman" w:cs="Times New Roman"/>
          <w:sz w:val="24"/>
          <w:szCs w:val="24"/>
        </w:rPr>
        <w:t>));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b/>
          <w:sz w:val="24"/>
          <w:szCs w:val="24"/>
        </w:rPr>
        <w:t>Правилник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изради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и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спровођењу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плана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управљања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ризицима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од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повреде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принципа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родне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b/>
          <w:sz w:val="24"/>
          <w:szCs w:val="24"/>
        </w:rPr>
        <w:t>равноправности</w:t>
      </w:r>
      <w:r w:rsidR="00CB00D7" w:rsidRPr="003D0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D7" w:rsidRPr="003D0A9C">
        <w:rPr>
          <w:rFonts w:ascii="Times New Roman" w:hAnsi="Times New Roman" w:cs="Times New Roman"/>
          <w:sz w:val="24"/>
          <w:szCs w:val="24"/>
        </w:rPr>
        <w:t>(“</w:t>
      </w:r>
      <w:r w:rsidRPr="003D0A9C">
        <w:rPr>
          <w:rFonts w:ascii="Times New Roman" w:hAnsi="Times New Roman" w:cs="Times New Roman"/>
          <w:sz w:val="24"/>
          <w:szCs w:val="24"/>
        </w:rPr>
        <w:t>Службени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гласник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РС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”, </w:t>
      </w:r>
      <w:r w:rsidRPr="003D0A9C">
        <w:rPr>
          <w:rFonts w:ascii="Times New Roman" w:hAnsi="Times New Roman" w:cs="Times New Roman"/>
          <w:sz w:val="24"/>
          <w:szCs w:val="24"/>
        </w:rPr>
        <w:t>бр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. 67/2022, </w:t>
      </w:r>
      <w:r w:rsidRPr="003D0A9C">
        <w:rPr>
          <w:rFonts w:ascii="Times New Roman" w:hAnsi="Times New Roman" w:cs="Times New Roman"/>
          <w:sz w:val="24"/>
          <w:szCs w:val="24"/>
        </w:rPr>
        <w:t>даље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: </w:t>
      </w:r>
      <w:r w:rsidRPr="003D0A9C">
        <w:rPr>
          <w:rFonts w:ascii="Times New Roman" w:hAnsi="Times New Roman" w:cs="Times New Roman"/>
          <w:sz w:val="24"/>
          <w:szCs w:val="24"/>
        </w:rPr>
        <w:t>Правилник</w:t>
      </w:r>
      <w:r w:rsidR="00CB00D7" w:rsidRPr="003D0A9C">
        <w:rPr>
          <w:rFonts w:ascii="Times New Roman" w:hAnsi="Times New Roman" w:cs="Times New Roman"/>
          <w:sz w:val="24"/>
          <w:szCs w:val="24"/>
        </w:rPr>
        <w:t>);</w:t>
      </w:r>
    </w:p>
    <w:p w:rsidR="00CB00D7" w:rsidRPr="003D0A9C" w:rsidRDefault="00A52B0A" w:rsidP="003D0A9C">
      <w:pPr>
        <w:pStyle w:val="bodytext0"/>
        <w:numPr>
          <w:ilvl w:val="0"/>
          <w:numId w:val="1"/>
        </w:numPr>
        <w:spacing w:before="0" w:after="0"/>
        <w:ind w:left="288" w:hanging="288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  <w:sz w:val="24"/>
          <w:szCs w:val="24"/>
        </w:rPr>
        <w:t>општи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Pr="003D0A9C">
        <w:rPr>
          <w:rFonts w:ascii="Times New Roman" w:hAnsi="Times New Roman" w:cs="Times New Roman"/>
          <w:sz w:val="24"/>
          <w:szCs w:val="24"/>
        </w:rPr>
        <w:t>акти</w:t>
      </w:r>
      <w:r w:rsidR="00CB00D7" w:rsidRPr="003D0A9C">
        <w:rPr>
          <w:rFonts w:ascii="Times New Roman" w:hAnsi="Times New Roman" w:cs="Times New Roman"/>
          <w:sz w:val="24"/>
          <w:szCs w:val="24"/>
        </w:rPr>
        <w:t xml:space="preserve"> </w:t>
      </w:r>
      <w:r w:rsidR="003D0A9C">
        <w:rPr>
          <w:rFonts w:ascii="Times New Roman" w:hAnsi="Times New Roman" w:cs="Times New Roman"/>
          <w:sz w:val="24"/>
          <w:szCs w:val="24"/>
          <w:lang w:val="sr-Cyrl-RS"/>
        </w:rPr>
        <w:t xml:space="preserve">Центра за социјални рад </w:t>
      </w:r>
      <w:r w:rsidR="00EF20D0">
        <w:rPr>
          <w:rFonts w:ascii="Times New Roman" w:hAnsi="Times New Roman" w:cs="Times New Roman"/>
          <w:sz w:val="24"/>
          <w:szCs w:val="24"/>
          <w:lang w:val="sr-Cyrl-RS"/>
        </w:rPr>
        <w:t>Врање</w:t>
      </w:r>
      <w:r w:rsidR="00CB00D7" w:rsidRPr="003D0A9C">
        <w:rPr>
          <w:rFonts w:ascii="Times New Roman" w:hAnsi="Times New Roman" w:cs="Times New Roman"/>
          <w:sz w:val="24"/>
          <w:szCs w:val="24"/>
        </w:rPr>
        <w:t>.</w:t>
      </w:r>
    </w:p>
    <w:p w:rsidR="00CB00D7" w:rsidRPr="003D0A9C" w:rsidRDefault="00A52B0A">
      <w:pPr>
        <w:pStyle w:val="ListParagraph"/>
        <w:numPr>
          <w:ilvl w:val="0"/>
          <w:numId w:val="2"/>
        </w:numPr>
        <w:spacing w:before="300" w:after="100" w:line="240" w:lineRule="auto"/>
        <w:ind w:left="323" w:hanging="357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b/>
          <w:bCs/>
          <w:sz w:val="24"/>
          <w:szCs w:val="24"/>
        </w:rPr>
        <w:t>Садржина</w:t>
      </w:r>
      <w:r w:rsidR="00CB00D7" w:rsidRPr="003D0A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0A9C">
        <w:rPr>
          <w:rFonts w:ascii="Times New Roman" w:hAnsi="Times New Roman"/>
          <w:b/>
          <w:bCs/>
          <w:sz w:val="24"/>
          <w:szCs w:val="24"/>
        </w:rPr>
        <w:t>Плана</w:t>
      </w:r>
      <w:r w:rsidR="00CB00D7" w:rsidRPr="003D0A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0A9C">
        <w:rPr>
          <w:rFonts w:ascii="Times New Roman" w:hAnsi="Times New Roman"/>
          <w:b/>
          <w:bCs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0A9C">
        <w:rPr>
          <w:rFonts w:ascii="Times New Roman" w:hAnsi="Times New Roman"/>
          <w:b/>
          <w:bCs/>
          <w:sz w:val="24"/>
          <w:szCs w:val="24"/>
        </w:rPr>
        <w:t>ризицима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План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повреде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принципа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равноправности</w:t>
      </w:r>
      <w:r w:rsidR="00CB00D7" w:rsidRPr="003D0A9C">
        <w:rPr>
          <w:rFonts w:ascii="Times New Roman" w:hAnsi="Times New Roman"/>
          <w:sz w:val="24"/>
          <w:szCs w:val="24"/>
        </w:rPr>
        <w:t xml:space="preserve"> (</w:t>
      </w:r>
      <w:r w:rsidRPr="003D0A9C">
        <w:rPr>
          <w:rFonts w:ascii="Times New Roman" w:hAnsi="Times New Roman"/>
          <w:sz w:val="24"/>
          <w:szCs w:val="24"/>
        </w:rPr>
        <w:t>даље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Pr="003D0A9C">
        <w:rPr>
          <w:rFonts w:ascii="Times New Roman" w:hAnsi="Times New Roman"/>
          <w:sz w:val="24"/>
          <w:szCs w:val="24"/>
        </w:rPr>
        <w:t>План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ризицима</w:t>
      </w:r>
      <w:r w:rsidR="00CB00D7" w:rsidRPr="003D0A9C">
        <w:rPr>
          <w:rFonts w:ascii="Times New Roman" w:hAnsi="Times New Roman"/>
          <w:sz w:val="24"/>
          <w:szCs w:val="24"/>
        </w:rPr>
        <w:t xml:space="preserve">) </w:t>
      </w:r>
      <w:r w:rsidRPr="003D0A9C">
        <w:rPr>
          <w:rFonts w:ascii="Times New Roman" w:hAnsi="Times New Roman"/>
          <w:sz w:val="24"/>
          <w:szCs w:val="24"/>
        </w:rPr>
        <w:t>представља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гаранцију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перспективе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уродњавања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уравнотежене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заступљености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полова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радним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процесима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Центра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Гаранција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перспективе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односи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узимање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обзир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разлика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разлика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различитих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интереса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потреба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приоритета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жена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мушкараца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њихово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укључивање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све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фазе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планирања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припреме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доношења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спровођења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одлука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Центра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као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обављања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радних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процеса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Уродњавање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представља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средство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остваривање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унапређивање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равноправности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кроз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укључивање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перспективе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све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фазе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процеса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рада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Центра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Уравнотежена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заступљеност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полова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постоји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када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је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заступљеност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једног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полова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између</w:t>
      </w:r>
      <w:r w:rsidR="00CB00D7" w:rsidRPr="003D0A9C">
        <w:rPr>
          <w:rFonts w:ascii="Times New Roman" w:hAnsi="Times New Roman"/>
          <w:sz w:val="24"/>
          <w:szCs w:val="24"/>
        </w:rPr>
        <w:t xml:space="preserve"> 40-50%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односу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други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осетно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неуравнотежена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заступљеност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полова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постоји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када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је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заступљеност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једног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нижа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</w:t>
      </w:r>
      <w:r w:rsidR="00CB00D7" w:rsidRPr="003D0A9C">
        <w:rPr>
          <w:rFonts w:ascii="Times New Roman" w:hAnsi="Times New Roman"/>
          <w:sz w:val="24"/>
          <w:szCs w:val="24"/>
        </w:rPr>
        <w:t xml:space="preserve"> 40%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односу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други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осим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ако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посебним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законом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није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другачије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прописано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Приликом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израде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Плана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полази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радних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процеса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свим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областима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функционисања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Центра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lastRenderedPageBreak/>
        <w:t>План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садржи</w:t>
      </w:r>
      <w:r w:rsidR="00CB00D7" w:rsidRPr="003D0A9C">
        <w:rPr>
          <w:rFonts w:ascii="Times New Roman" w:hAnsi="Times New Roman"/>
          <w:sz w:val="24"/>
          <w:szCs w:val="24"/>
        </w:rPr>
        <w:t>:</w:t>
      </w:r>
    </w:p>
    <w:p w:rsidR="00CB00D7" w:rsidRPr="003D0A9C" w:rsidRDefault="00A52B0A" w:rsidP="003D0A9C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списак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области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радних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процеса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који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нарочито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изложени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ризику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повреду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принципа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родне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равноправности</w:t>
      </w:r>
      <w:r w:rsidR="00CB00D7" w:rsidRPr="003D0A9C">
        <w:rPr>
          <w:rFonts w:ascii="Times New Roman" w:hAnsi="Times New Roman"/>
          <w:sz w:val="24"/>
          <w:szCs w:val="24"/>
        </w:rPr>
        <w:t xml:space="preserve">, </w:t>
      </w:r>
      <w:r w:rsidRPr="003D0A9C">
        <w:rPr>
          <w:rFonts w:ascii="Times New Roman" w:hAnsi="Times New Roman"/>
          <w:sz w:val="24"/>
          <w:szCs w:val="24"/>
        </w:rPr>
        <w:t>укључујући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резултате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процене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степена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ризика</w:t>
      </w:r>
      <w:r w:rsidR="00CB00D7" w:rsidRPr="003D0A9C">
        <w:rPr>
          <w:rFonts w:ascii="Times New Roman" w:hAnsi="Times New Roman"/>
          <w:sz w:val="24"/>
          <w:szCs w:val="24"/>
        </w:rPr>
        <w:t>;</w:t>
      </w:r>
    </w:p>
    <w:p w:rsidR="00CB00D7" w:rsidRPr="003D0A9C" w:rsidRDefault="00A52B0A" w:rsidP="003D0A9C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списак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превентивних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мера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којима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спречавају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рокови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њихово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предузимање</w:t>
      </w:r>
      <w:r w:rsidR="00CB00D7" w:rsidRPr="003D0A9C">
        <w:rPr>
          <w:rFonts w:ascii="Times New Roman" w:hAnsi="Times New Roman"/>
          <w:sz w:val="24"/>
          <w:szCs w:val="24"/>
        </w:rPr>
        <w:t>;</w:t>
      </w:r>
    </w:p>
    <w:p w:rsidR="00CB00D7" w:rsidRPr="003D0A9C" w:rsidRDefault="00A52B0A" w:rsidP="003D0A9C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податке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ли</w:t>
      </w:r>
      <w:r w:rsidR="009A059B">
        <w:rPr>
          <w:rFonts w:ascii="Times New Roman" w:hAnsi="Times New Roman"/>
          <w:sz w:val="24"/>
          <w:szCs w:val="24"/>
        </w:rPr>
        <w:t>ц</w:t>
      </w:r>
      <w:r w:rsidR="009A059B">
        <w:rPr>
          <w:rFonts w:ascii="Times New Roman" w:hAnsi="Times New Roman"/>
          <w:sz w:val="24"/>
          <w:szCs w:val="24"/>
          <w:lang w:val="sr-Cyrl-RS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одговорним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спровођење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мера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из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Плана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управљања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ризицима</w:t>
      </w:r>
      <w:r w:rsidR="00CB00D7" w:rsidRPr="003D0A9C">
        <w:rPr>
          <w:rFonts w:ascii="Times New Roman" w:hAnsi="Times New Roman"/>
          <w:sz w:val="24"/>
          <w:szCs w:val="24"/>
        </w:rPr>
        <w:t>.</w:t>
      </w:r>
    </w:p>
    <w:p w:rsidR="00CB00D7" w:rsidRDefault="00CB00D7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00D7" w:rsidRPr="003D0A9C" w:rsidRDefault="00A52B0A">
      <w:pPr>
        <w:pStyle w:val="ListParagraph"/>
        <w:numPr>
          <w:ilvl w:val="0"/>
          <w:numId w:val="2"/>
        </w:numPr>
        <w:spacing w:before="300" w:after="100" w:line="240" w:lineRule="auto"/>
        <w:ind w:left="0" w:firstLine="0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b/>
          <w:bCs/>
          <w:sz w:val="24"/>
          <w:szCs w:val="24"/>
        </w:rPr>
        <w:t>Радни</w:t>
      </w:r>
      <w:r w:rsidR="00CB00D7" w:rsidRPr="003D0A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0A9C">
        <w:rPr>
          <w:rFonts w:ascii="Times New Roman" w:hAnsi="Times New Roman"/>
          <w:b/>
          <w:bCs/>
          <w:sz w:val="24"/>
          <w:szCs w:val="24"/>
        </w:rPr>
        <w:t>процеси</w:t>
      </w:r>
    </w:p>
    <w:p w:rsidR="00CB00D7" w:rsidRPr="003D0A9C" w:rsidRDefault="00A52B0A" w:rsidP="003D0A9C">
      <w:pPr>
        <w:spacing w:after="0" w:line="240" w:lineRule="auto"/>
        <w:jc w:val="both"/>
        <w:rPr>
          <w:rFonts w:ascii="Times New Roman" w:hAnsi="Times New Roman"/>
        </w:rPr>
      </w:pPr>
      <w:r w:rsidRPr="003D0A9C">
        <w:rPr>
          <w:rFonts w:ascii="Times New Roman" w:hAnsi="Times New Roman"/>
          <w:sz w:val="24"/>
          <w:szCs w:val="24"/>
        </w:rPr>
        <w:t>Основни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подаци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Центра</w:t>
      </w:r>
      <w:r w:rsidR="00CB00D7" w:rsidRPr="003D0A9C">
        <w:rPr>
          <w:rFonts w:ascii="Times New Roman" w:hAnsi="Times New Roman"/>
          <w:sz w:val="24"/>
          <w:szCs w:val="24"/>
        </w:rPr>
        <w:t>:</w:t>
      </w:r>
    </w:p>
    <w:p w:rsidR="00F95D09" w:rsidRDefault="00F95D09" w:rsidP="003D0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0D7" w:rsidRPr="00C50162" w:rsidRDefault="00A52B0A" w:rsidP="003D0A9C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Назив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EF20D0">
        <w:rPr>
          <w:rFonts w:ascii="Times New Roman" w:hAnsi="Times New Roman"/>
          <w:sz w:val="24"/>
          <w:szCs w:val="24"/>
          <w:lang w:val="sr-Cyrl-RS"/>
        </w:rPr>
        <w:t xml:space="preserve">Јавна установа </w:t>
      </w:r>
      <w:r w:rsidR="00C50162">
        <w:rPr>
          <w:rFonts w:ascii="Times New Roman" w:hAnsi="Times New Roman"/>
          <w:sz w:val="24"/>
          <w:szCs w:val="24"/>
          <w:lang w:val="sr-Cyrl-RS"/>
        </w:rPr>
        <w:t>Центар за социјални рад</w:t>
      </w:r>
      <w:r w:rsidR="00EF20D0">
        <w:rPr>
          <w:rFonts w:ascii="Times New Roman" w:hAnsi="Times New Roman"/>
          <w:sz w:val="24"/>
          <w:szCs w:val="24"/>
          <w:lang w:val="sr-Cyrl-RS"/>
        </w:rPr>
        <w:t xml:space="preserve"> у Врању</w:t>
      </w:r>
    </w:p>
    <w:p w:rsidR="00CB00D7" w:rsidRPr="00C50162" w:rsidRDefault="00A52B0A" w:rsidP="003D0A9C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Адреса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седишта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C50162">
        <w:rPr>
          <w:rFonts w:ascii="Times New Roman" w:hAnsi="Times New Roman"/>
          <w:sz w:val="24"/>
          <w:szCs w:val="24"/>
          <w:lang w:val="sr-Cyrl-RS"/>
        </w:rPr>
        <w:t>у</w:t>
      </w:r>
      <w:r w:rsidR="00EF20D0">
        <w:rPr>
          <w:rFonts w:ascii="Times New Roman" w:hAnsi="Times New Roman"/>
          <w:sz w:val="24"/>
          <w:szCs w:val="24"/>
          <w:lang w:val="sr-Cyrl-RS"/>
        </w:rPr>
        <w:t>л. Задарска бр2 17500 Врање</w:t>
      </w:r>
      <w:r w:rsidR="00C5016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00D7" w:rsidRPr="00C50162" w:rsidRDefault="00A52B0A" w:rsidP="003D0A9C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Матични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број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EF20D0">
        <w:rPr>
          <w:rFonts w:ascii="Times New Roman" w:hAnsi="Times New Roman"/>
          <w:sz w:val="24"/>
          <w:szCs w:val="24"/>
          <w:lang w:val="sr-Cyrl-RS"/>
        </w:rPr>
        <w:t>07205864</w:t>
      </w:r>
    </w:p>
    <w:p w:rsidR="00CB00D7" w:rsidRPr="00C50162" w:rsidRDefault="00A52B0A" w:rsidP="003D0A9C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ПИБ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EF20D0">
        <w:rPr>
          <w:rFonts w:ascii="Times New Roman" w:hAnsi="Times New Roman"/>
          <w:sz w:val="24"/>
          <w:szCs w:val="24"/>
          <w:lang w:val="sr-Cyrl-RS"/>
        </w:rPr>
        <w:t>10040151</w:t>
      </w:r>
    </w:p>
    <w:p w:rsidR="00CB00D7" w:rsidRPr="00C50162" w:rsidRDefault="00A52B0A" w:rsidP="003D0A9C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Одговорно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лице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EF20D0">
        <w:rPr>
          <w:rFonts w:ascii="Times New Roman" w:hAnsi="Times New Roman"/>
          <w:sz w:val="24"/>
          <w:szCs w:val="24"/>
          <w:lang w:val="sr-Cyrl-RS"/>
        </w:rPr>
        <w:t>Јадранка Стојановић</w:t>
      </w:r>
      <w:r w:rsidR="00C50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97F7F">
        <w:rPr>
          <w:rFonts w:ascii="Times New Roman" w:hAnsi="Times New Roman"/>
          <w:sz w:val="24"/>
          <w:szCs w:val="24"/>
          <w:lang w:val="sr-Cyrl-RS"/>
        </w:rPr>
        <w:t xml:space="preserve"> директор</w:t>
      </w:r>
      <w:r w:rsidR="00384AF6">
        <w:rPr>
          <w:rFonts w:ascii="Times New Roman" w:hAnsi="Times New Roman"/>
          <w:sz w:val="24"/>
          <w:szCs w:val="24"/>
          <w:lang w:val="sr-Cyrl-RS"/>
        </w:rPr>
        <w:t>ка</w:t>
      </w:r>
    </w:p>
    <w:p w:rsidR="00CB00D7" w:rsidRPr="003D0A9C" w:rsidRDefault="00CB00D7" w:rsidP="003D0A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00D7" w:rsidRPr="00F95D09" w:rsidRDefault="00A52B0A" w:rsidP="00F95D09">
      <w:pPr>
        <w:tabs>
          <w:tab w:val="left" w:pos="524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Подаци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о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лицу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за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координацију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у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="003D0A9C">
        <w:rPr>
          <w:rFonts w:ascii="Times New Roman" w:hAnsi="Times New Roman"/>
          <w:sz w:val="24"/>
          <w:szCs w:val="24"/>
          <w:lang w:val="sr-Cyrl-RS"/>
        </w:rPr>
        <w:t>Центру</w:t>
      </w:r>
      <w:r w:rsidR="00CB00D7" w:rsidRPr="003D0A9C">
        <w:rPr>
          <w:rFonts w:ascii="Times New Roman" w:hAnsi="Times New Roman"/>
          <w:sz w:val="24"/>
          <w:szCs w:val="24"/>
        </w:rPr>
        <w:t>:</w:t>
      </w:r>
      <w:r w:rsidR="00F95D09">
        <w:rPr>
          <w:rFonts w:ascii="Times New Roman" w:hAnsi="Times New Roman"/>
          <w:sz w:val="24"/>
          <w:szCs w:val="24"/>
        </w:rPr>
        <w:t xml:space="preserve">      </w:t>
      </w:r>
    </w:p>
    <w:p w:rsidR="00F95D09" w:rsidRPr="009A059B" w:rsidRDefault="00A52B0A" w:rsidP="00F95D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3D0A9C">
        <w:rPr>
          <w:rFonts w:ascii="Times New Roman" w:hAnsi="Times New Roman"/>
          <w:sz w:val="24"/>
          <w:szCs w:val="24"/>
        </w:rPr>
        <w:t>Име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и</w:t>
      </w:r>
      <w:r w:rsidR="00CB00D7" w:rsidRPr="003D0A9C">
        <w:rPr>
          <w:rFonts w:ascii="Times New Roman" w:hAnsi="Times New Roman"/>
          <w:sz w:val="24"/>
          <w:szCs w:val="24"/>
        </w:rPr>
        <w:t xml:space="preserve"> </w:t>
      </w:r>
      <w:r w:rsidRPr="003D0A9C">
        <w:rPr>
          <w:rFonts w:ascii="Times New Roman" w:hAnsi="Times New Roman"/>
          <w:sz w:val="24"/>
          <w:szCs w:val="24"/>
        </w:rPr>
        <w:t>презиме</w:t>
      </w:r>
      <w:r w:rsidR="00CB00D7" w:rsidRPr="003D0A9C">
        <w:rPr>
          <w:rFonts w:ascii="Times New Roman" w:hAnsi="Times New Roman"/>
          <w:sz w:val="24"/>
          <w:szCs w:val="24"/>
        </w:rPr>
        <w:t xml:space="preserve">: </w:t>
      </w:r>
      <w:r w:rsidR="00EF20D0">
        <w:rPr>
          <w:rFonts w:ascii="Times New Roman" w:hAnsi="Times New Roman"/>
          <w:sz w:val="24"/>
          <w:szCs w:val="24"/>
          <w:lang w:val="sr-Cyrl-RS"/>
        </w:rPr>
        <w:t>Јелен</w:t>
      </w:r>
      <w:r w:rsidR="00EF20D0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EF20D0">
        <w:rPr>
          <w:rFonts w:ascii="Times New Roman" w:hAnsi="Times New Roman"/>
          <w:sz w:val="24"/>
          <w:szCs w:val="24"/>
          <w:lang w:val="sr-Cyrl-RS"/>
        </w:rPr>
        <w:t>Стошић</w:t>
      </w:r>
      <w:r w:rsidR="00F95D09"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  <w:r w:rsidR="00F95D09">
        <w:rPr>
          <w:rFonts w:ascii="Times New Roman" w:hAnsi="Times New Roman"/>
          <w:sz w:val="24"/>
          <w:szCs w:val="24"/>
          <w:lang w:val="sr-Cyrl-RS"/>
        </w:rPr>
        <w:tab/>
      </w:r>
      <w:r w:rsidR="00EF20D0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F95D09" w:rsidRPr="009A059B" w:rsidRDefault="00EF20D0" w:rsidP="00F95D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Број телефона:  01</w:t>
      </w:r>
      <w:r w:rsidR="00497F7F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/423-905</w:t>
      </w:r>
      <w:r w:rsidR="00F95D09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</w:p>
    <w:p w:rsidR="00EF20D0" w:rsidRPr="009A059B" w:rsidRDefault="00F95D09" w:rsidP="00EF20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Емаил: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F20D0">
        <w:rPr>
          <w:rFonts w:ascii="Times New Roman" w:hAnsi="Times New Roman"/>
          <w:color w:val="000000"/>
          <w:sz w:val="24"/>
          <w:szCs w:val="24"/>
          <w:lang w:val="sr-Latn-RS"/>
        </w:rPr>
        <w:t>vranje</w:t>
      </w:r>
      <w:r w:rsidR="00EF20D0">
        <w:rPr>
          <w:rFonts w:ascii="Times New Roman" w:hAnsi="Times New Roman"/>
          <w:color w:val="000000"/>
          <w:sz w:val="24"/>
          <w:szCs w:val="24"/>
          <w:lang w:val="en-US"/>
        </w:rPr>
        <w:t>.csr@minrzs.gov.rs</w:t>
      </w:r>
      <w:r w:rsidR="00EF20D0" w:rsidRPr="00EF20D0">
        <w:rPr>
          <w:rFonts w:ascii="Times New Roman" w:hAnsi="Times New Roman"/>
          <w:sz w:val="24"/>
          <w:szCs w:val="24"/>
        </w:rPr>
        <w:t xml:space="preserve"> </w:t>
      </w:r>
      <w:r w:rsidR="009A059B"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</w:p>
    <w:p w:rsidR="00EF20D0" w:rsidRPr="009A1AC5" w:rsidRDefault="00EF20D0" w:rsidP="00EF20D0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95D09" w:rsidRPr="009A059B" w:rsidRDefault="00F95D09" w:rsidP="003D0A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EF20D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F95D09" w:rsidRDefault="00F95D09" w:rsidP="003D0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5D09" w:rsidRDefault="00F95D09" w:rsidP="003D0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5D09" w:rsidRDefault="00F95D09" w:rsidP="003D0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A4" w:rsidRPr="00F95D09" w:rsidRDefault="00C270A4" w:rsidP="00C270A4">
      <w:pPr>
        <w:rPr>
          <w:rFonts w:ascii="Times New Roman" w:hAnsi="Times New Roman"/>
          <w:b/>
          <w:noProof/>
          <w:color w:val="000000"/>
          <w:sz w:val="20"/>
          <w:szCs w:val="20"/>
          <w:lang w:val="en-US" w:eastAsia="en-US"/>
        </w:rPr>
      </w:pPr>
      <w:r w:rsidRPr="00F95D09">
        <w:rPr>
          <w:rFonts w:ascii="Times New Roman" w:hAnsi="Times New Roman"/>
          <w:b/>
          <w:color w:val="000000"/>
          <w:sz w:val="20"/>
          <w:szCs w:val="20"/>
          <w:lang w:val="sr-Cyrl-CS"/>
        </w:rPr>
        <w:t xml:space="preserve">Структура Органа јавне власти </w:t>
      </w:r>
    </w:p>
    <w:p w:rsidR="00C270A4" w:rsidRDefault="00C270A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</w:p>
    <w:tbl>
      <w:tblPr>
        <w:tblpPr w:leftFromText="180" w:rightFromText="180" w:vertAnchor="text" w:tblpX="2997" w:tblpY="1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</w:tblGrid>
      <w:tr w:rsidR="00C270A4" w:rsidRPr="00C270A4" w:rsidTr="003C3ADF">
        <w:trPr>
          <w:trHeight w:val="915"/>
        </w:trPr>
        <w:tc>
          <w:tcPr>
            <w:tcW w:w="3522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b/>
                <w:sz w:val="24"/>
                <w:lang w:val="sr-Cyrl-RS" w:eastAsia="en-US"/>
              </w:rPr>
              <w:t xml:space="preserve">                  </w:t>
            </w:r>
          </w:p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b/>
                <w:sz w:val="24"/>
                <w:lang w:val="sr-Cyrl-RS" w:eastAsia="en-US"/>
              </w:rPr>
              <w:t xml:space="preserve">                  Директор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tbl>
      <w:tblPr>
        <w:tblpPr w:leftFromText="180" w:rightFromText="180" w:vertAnchor="text" w:tblpX="-1200" w:tblpY="3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</w:tblGrid>
      <w:tr w:rsidR="00C270A4" w:rsidRPr="00C270A4" w:rsidTr="001124FC">
        <w:trPr>
          <w:trHeight w:val="328"/>
        </w:trPr>
        <w:tc>
          <w:tcPr>
            <w:tcW w:w="1570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sz w:val="24"/>
                <w:lang w:val="sr-Cyrl-RS" w:eastAsia="en-US"/>
              </w:rPr>
              <w:t>Супервизор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tbl>
      <w:tblPr>
        <w:tblpPr w:leftFromText="180" w:rightFromText="180" w:vertAnchor="text" w:tblpX="724" w:tblpY="3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</w:tblGrid>
      <w:tr w:rsidR="00C270A4" w:rsidRPr="00C270A4" w:rsidTr="001124FC">
        <w:trPr>
          <w:trHeight w:val="314"/>
        </w:trPr>
        <w:tc>
          <w:tcPr>
            <w:tcW w:w="1576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sz w:val="24"/>
                <w:lang w:val="sr-Cyrl-RS" w:eastAsia="en-US"/>
              </w:rPr>
              <w:t xml:space="preserve">Водитељ случаја 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tbl>
      <w:tblPr>
        <w:tblpPr w:leftFromText="180" w:rightFromText="180" w:vertAnchor="text" w:tblpX="2656" w:tblpY="3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</w:tblGrid>
      <w:tr w:rsidR="00C270A4" w:rsidRPr="00C270A4" w:rsidTr="001124FC">
        <w:trPr>
          <w:trHeight w:val="334"/>
        </w:trPr>
        <w:tc>
          <w:tcPr>
            <w:tcW w:w="1426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sz w:val="24"/>
                <w:lang w:val="sr-Cyrl-RS" w:eastAsia="en-US"/>
              </w:rPr>
              <w:t xml:space="preserve">Стручни радник на управно правним пословима 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p w:rsidR="00C270A4" w:rsidRPr="00C270A4" w:rsidRDefault="00C270A4" w:rsidP="00C270A4">
      <w:pPr>
        <w:spacing w:after="0"/>
        <w:rPr>
          <w:vanish/>
        </w:rPr>
      </w:pPr>
    </w:p>
    <w:tbl>
      <w:tblPr>
        <w:tblpPr w:leftFromText="180" w:rightFromText="180" w:vertAnchor="text" w:tblpX="6587" w:tblpY="3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</w:tblGrid>
      <w:tr w:rsidR="00C270A4" w:rsidRPr="00C270A4" w:rsidTr="000A1497">
        <w:trPr>
          <w:trHeight w:val="423"/>
        </w:trPr>
        <w:tc>
          <w:tcPr>
            <w:tcW w:w="1951" w:type="dxa"/>
          </w:tcPr>
          <w:p w:rsidR="00C270A4" w:rsidRPr="00C270A4" w:rsidRDefault="006479C7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>
              <w:rPr>
                <w:rFonts w:ascii="Times New Roman" w:hAnsi="Times New Roman"/>
                <w:sz w:val="24"/>
                <w:lang w:val="sr-Cyrl-RS" w:eastAsia="en-US"/>
              </w:rPr>
              <w:t>Запослени на финансијско административним пословима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p w:rsidR="00C270A4" w:rsidRPr="00C270A4" w:rsidRDefault="00C270A4" w:rsidP="00C270A4">
      <w:pPr>
        <w:spacing w:after="0"/>
        <w:rPr>
          <w:vanish/>
        </w:rPr>
      </w:pPr>
    </w:p>
    <w:tbl>
      <w:tblPr>
        <w:tblW w:w="1720" w:type="dxa"/>
        <w:tblInd w:w="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</w:tblGrid>
      <w:tr w:rsidR="00C270A4" w:rsidRPr="00C270A4" w:rsidTr="001124FC">
        <w:trPr>
          <w:trHeight w:val="389"/>
        </w:trPr>
        <w:tc>
          <w:tcPr>
            <w:tcW w:w="1638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sz w:val="24"/>
                <w:lang w:val="sr-Cyrl-RS" w:eastAsia="en-US"/>
              </w:rPr>
              <w:t xml:space="preserve">Управни одбор </w:t>
            </w:r>
          </w:p>
        </w:tc>
      </w:tr>
    </w:tbl>
    <w:p w:rsidR="00C270A4" w:rsidRPr="00C270A4" w:rsidRDefault="00C270A4" w:rsidP="00C270A4">
      <w:pPr>
        <w:spacing w:after="0"/>
        <w:rPr>
          <w:vanish/>
        </w:rPr>
      </w:pPr>
    </w:p>
    <w:tbl>
      <w:tblPr>
        <w:tblpPr w:leftFromText="180" w:rightFromText="180" w:vertAnchor="text" w:horzAnchor="page" w:tblpX="9268" w:tblpY="317"/>
        <w:tblW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</w:tblGrid>
      <w:tr w:rsidR="00C270A4" w:rsidRPr="00C270A4" w:rsidTr="001124FC">
        <w:trPr>
          <w:trHeight w:val="355"/>
        </w:trPr>
        <w:tc>
          <w:tcPr>
            <w:tcW w:w="1611" w:type="dxa"/>
          </w:tcPr>
          <w:p w:rsidR="00C270A4" w:rsidRPr="00C270A4" w:rsidRDefault="00C270A4" w:rsidP="00C270A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sr-Cyrl-RS" w:eastAsia="en-US"/>
              </w:rPr>
            </w:pPr>
            <w:r w:rsidRPr="00C270A4">
              <w:rPr>
                <w:rFonts w:ascii="Times New Roman" w:hAnsi="Times New Roman"/>
                <w:sz w:val="24"/>
                <w:lang w:val="sr-Cyrl-RS" w:eastAsia="en-US"/>
              </w:rPr>
              <w:t>Надзорни одбор</w:t>
            </w:r>
          </w:p>
        </w:tc>
      </w:tr>
    </w:tbl>
    <w:p w:rsidR="00C270A4" w:rsidRDefault="00C270A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</w:p>
    <w:p w:rsidR="00C270A4" w:rsidRDefault="00C270A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</w:p>
    <w:p w:rsidR="00C270A4" w:rsidRDefault="00C270A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</w:p>
    <w:p w:rsidR="00C270A4" w:rsidRDefault="00C270A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</w:p>
    <w:p w:rsidR="00C270A4" w:rsidRDefault="00B701C4" w:rsidP="00C270A4">
      <w:pP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354330" cy="819150"/>
                <wp:effectExtent l="9525" t="8890" r="7620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8pt;margin-top:9.7pt;width:27.9pt;height:6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S+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NLSnN64Ar0ptbCiQHtWLedL0m0NKVy1ROx6dX08GYrMQkbwJCRtnIMm2/6wZ+BDA&#10;j706NrZDjRTmUwgM4NAPdIzDOd2Gw48eUfg4nuTjMYyQwtEsm2eT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123190</wp:posOffset>
                </wp:positionV>
                <wp:extent cx="2043430" cy="648335"/>
                <wp:effectExtent l="11430" t="8890" r="1206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430" cy="64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5.9pt;margin-top:9.7pt;width:160.9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28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113665</wp:posOffset>
                </wp:positionV>
                <wp:extent cx="1670050" cy="648335"/>
                <wp:effectExtent l="8255" t="8890" r="762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0" cy="64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4.4pt;margin-top:8.95pt;width:131.5pt;height:51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foKw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113665</wp:posOffset>
                </wp:positionV>
                <wp:extent cx="3097530" cy="643890"/>
                <wp:effectExtent l="5080" t="8890" r="1206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753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8.35pt;margin-top:8.95pt;width:243.9pt;height:50.7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uz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"/>
            </w:pict>
          </mc:Fallback>
        </mc:AlternateConten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</w:t>
      </w:r>
    </w:p>
    <w:p w:rsid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F12D19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.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</w:t>
      </w:r>
    </w:p>
    <w:p w:rsidR="00F95D09" w:rsidRDefault="00F95D09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9A059B" w:rsidRDefault="009A059B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0A1497" w:rsidRDefault="000A1497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F95D09" w:rsidRDefault="00F95D09" w:rsidP="00F95D09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F95D09" w:rsidRDefault="00F95D09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lastRenderedPageBreak/>
        <w:t xml:space="preserve">Укупан број запослених и радно ангажованих лица у Органу јавне власти износи 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 xml:space="preserve">41, од тога 34 чине жене </w:t>
      </w:r>
      <w:r w:rsidR="009E674D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и 7</w:t>
      </w:r>
      <w:r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мушкарац</w:t>
      </w:r>
      <w:r w:rsidR="009E674D">
        <w:rPr>
          <w:rFonts w:ascii="Times New Roman" w:hAnsi="Times New Roman"/>
          <w:color w:val="000000"/>
          <w:sz w:val="20"/>
          <w:szCs w:val="20"/>
          <w:lang w:val="sr-Cyrl-CS"/>
        </w:rPr>
        <w:t>а</w:t>
      </w:r>
      <w:r>
        <w:rPr>
          <w:rFonts w:ascii="Times New Roman" w:hAnsi="Times New Roman"/>
          <w:color w:val="000000"/>
          <w:sz w:val="20"/>
          <w:szCs w:val="20"/>
          <w:lang w:val="sr-Cyrl-CS"/>
        </w:rPr>
        <w:t xml:space="preserve">.  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Од укупног броја запослених</w:t>
      </w:r>
      <w:r w:rsidR="00F12D19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и радно ангажованих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: </w:t>
      </w:r>
      <w:r w:rsidR="00F12D19">
        <w:rPr>
          <w:rFonts w:ascii="Times New Roman" w:hAnsi="Times New Roman"/>
          <w:color w:val="000000"/>
          <w:sz w:val="20"/>
          <w:szCs w:val="20"/>
          <w:lang w:val="sr-Cyrl-CS"/>
        </w:rPr>
        <w:t>6,25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% чине мушкарци </w:t>
      </w:r>
      <w:r w:rsidR="00F12D19">
        <w:rPr>
          <w:rFonts w:ascii="Times New Roman" w:hAnsi="Times New Roman"/>
          <w:color w:val="000000"/>
          <w:sz w:val="20"/>
          <w:szCs w:val="20"/>
          <w:lang w:val="sr-Cyrl-CS"/>
        </w:rPr>
        <w:t xml:space="preserve">93,75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% чине жене. 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Старосна структура запослених</w:t>
      </w:r>
      <w:r w:rsidR="00F12D19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и радно анагжованих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у Органу јавне власти:</w:t>
      </w:r>
    </w:p>
    <w:p w:rsidR="00F12D19" w:rsidRPr="00C270A4" w:rsidRDefault="00F12D19" w:rsidP="00C270A4">
      <w:pPr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270A4" w:rsidRDefault="00B701C4" w:rsidP="00C270A4">
      <w:pPr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i/>
          <w:noProof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5337" w:rsidRPr="004957A5" w:rsidRDefault="000D5337" w:rsidP="00C270A4">
      <w:pPr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:rsidR="000D5337" w:rsidRPr="00C270A4" w:rsidRDefault="000D5337" w:rsidP="00C270A4">
      <w:pPr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270A4" w:rsidRPr="00C270A4" w:rsidRDefault="00D53547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Укупно: 4</w:t>
      </w:r>
      <w:r w:rsidR="0074449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sr-Cyrl-CS"/>
        </w:rPr>
        <w:t>(_25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     од 21-30 година живота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Ж: 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 xml:space="preserve">4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(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>25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М:0(0%)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Укупно: 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>11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>6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8,75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     од 31-40 година живота</w:t>
      </w:r>
    </w:p>
    <w:p w:rsidR="00C270A4" w:rsidRPr="00C270A4" w:rsidRDefault="00B701C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Ж: 9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(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62,5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</w:t>
      </w:r>
    </w:p>
    <w:p w:rsidR="00C270A4" w:rsidRPr="00C270A4" w:rsidRDefault="00B701C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М:2</w:t>
      </w:r>
      <w:r w:rsidR="00D53547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6,25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D464CB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 xml:space="preserve">Укупно: </w:t>
      </w:r>
      <w:r w:rsidR="00497F7F">
        <w:rPr>
          <w:rFonts w:ascii="Times New Roman" w:hAnsi="Times New Roman"/>
          <w:color w:val="000000"/>
          <w:sz w:val="20"/>
          <w:szCs w:val="20"/>
          <w:lang w:val="sr-Cyrl-CS"/>
        </w:rPr>
        <w:t>12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(68,75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     од 41-50 година живота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Ж: 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>11</w:t>
      </w:r>
      <w:r w:rsidR="00EF3FCF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68,75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</w:t>
      </w:r>
    </w:p>
    <w:p w:rsidR="00C270A4" w:rsidRPr="00C270A4" w:rsidRDefault="00B701C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М:1</w:t>
      </w:r>
      <w:r w:rsidR="004957A5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(0%)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Укупно: </w:t>
      </w:r>
      <w:r w:rsidR="004957A5">
        <w:rPr>
          <w:rFonts w:ascii="Times New Roman" w:hAnsi="Times New Roman"/>
          <w:color w:val="000000"/>
          <w:sz w:val="20"/>
          <w:szCs w:val="20"/>
          <w:lang w:val="sr-Cyrl-CS"/>
        </w:rPr>
        <w:t>13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81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25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     од 51-60 година живота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Ж: </w:t>
      </w:r>
      <w:r w:rsidR="004957A5">
        <w:rPr>
          <w:rFonts w:ascii="Times New Roman" w:hAnsi="Times New Roman"/>
          <w:color w:val="000000"/>
          <w:sz w:val="20"/>
          <w:szCs w:val="20"/>
          <w:lang w:val="sr-Cyrl-CS"/>
        </w:rPr>
        <w:t>9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(_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56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25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</w:t>
      </w:r>
    </w:p>
    <w:p w:rsidR="00C270A4" w:rsidRPr="00C270A4" w:rsidRDefault="004957A5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М:4</w:t>
      </w:r>
      <w:r w:rsidR="00F5139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(_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25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Укупно: </w:t>
      </w:r>
      <w:r w:rsidR="00497F7F">
        <w:rPr>
          <w:rFonts w:ascii="Times New Roman" w:hAnsi="Times New Roman"/>
          <w:color w:val="000000"/>
          <w:sz w:val="20"/>
          <w:szCs w:val="20"/>
          <w:lang w:val="sr-Cyrl-CS"/>
        </w:rPr>
        <w:t>1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</w:t>
      </w:r>
      <w:r w:rsidR="00662153">
        <w:rPr>
          <w:rFonts w:ascii="Times New Roman" w:hAnsi="Times New Roman"/>
          <w:color w:val="000000"/>
          <w:sz w:val="20"/>
          <w:szCs w:val="20"/>
          <w:lang w:val="sr-Cyrl-CS"/>
        </w:rPr>
        <w:t>18,75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     од 61-70 година живота</w:t>
      </w:r>
    </w:p>
    <w:p w:rsidR="00C270A4" w:rsidRPr="00C270A4" w:rsidRDefault="00384AF6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Ж: 1</w:t>
      </w:r>
      <w:r w:rsidR="00EF3FCF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(_</w:t>
      </w:r>
      <w:r>
        <w:rPr>
          <w:rFonts w:ascii="Times New Roman" w:hAnsi="Times New Roman"/>
          <w:color w:val="000000"/>
          <w:sz w:val="20"/>
          <w:szCs w:val="20"/>
          <w:lang w:val="sr-Cyrl-CS"/>
        </w:rPr>
        <w:t>6,2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_%)</w:t>
      </w:r>
    </w:p>
    <w:p w:rsidR="00C270A4" w:rsidRPr="00C270A4" w:rsidRDefault="00384AF6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color w:val="000000"/>
          <w:sz w:val="20"/>
          <w:szCs w:val="20"/>
          <w:lang w:val="sr-Cyrl-CS"/>
        </w:rPr>
        <w:t>М:0 (0,00</w:t>
      </w:r>
      <w:r w:rsidR="00C270A4" w:rsidRPr="00C270A4">
        <w:rPr>
          <w:rFonts w:ascii="Times New Roman" w:hAnsi="Times New Roman"/>
          <w:color w:val="000000"/>
          <w:sz w:val="20"/>
          <w:szCs w:val="20"/>
          <w:lang w:val="sr-Cyrl-CS"/>
        </w:rPr>
        <w:t>%)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Стручна спрема запослених и радно ангажованих у Органу јавне власти: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Квалификације које поседују запослена и радно ангажована лица, разврстана по полу: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Ниво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квалификације: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Укупно: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41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Жена: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34</w:t>
      </w:r>
      <w:r w:rsidR="009E674D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    Мушкараца: 7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1.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Први ниво /ниво1/-нема 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2.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Други ниво /ниво2/ нема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3.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Трећи ниво /ниво3/ </w:t>
      </w:r>
      <w:r w:rsidR="00A570A0">
        <w:rPr>
          <w:rFonts w:ascii="Times New Roman" w:hAnsi="Times New Roman"/>
          <w:color w:val="000000"/>
          <w:sz w:val="20"/>
          <w:szCs w:val="20"/>
          <w:lang w:val="sr-Cyrl-CS"/>
        </w:rPr>
        <w:t>три  запослена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4.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Четврти ниво /ниво4/ </w:t>
      </w:r>
      <w:r w:rsidR="003E7696">
        <w:rPr>
          <w:rFonts w:ascii="Times New Roman" w:hAnsi="Times New Roman"/>
          <w:color w:val="000000"/>
          <w:sz w:val="20"/>
          <w:szCs w:val="20"/>
          <w:lang w:val="sr-Cyrl-CS"/>
        </w:rPr>
        <w:t>седам запослених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5.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Пети ниво /ниво5/ нема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6.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Шести ниво / подниво један  /ниво6,1/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</w:r>
      <w:r w:rsidR="003E7696">
        <w:rPr>
          <w:rFonts w:ascii="Times New Roman" w:hAnsi="Times New Roman"/>
          <w:color w:val="000000"/>
          <w:sz w:val="20"/>
          <w:szCs w:val="20"/>
          <w:lang w:val="sr-Cyrl-CS"/>
        </w:rPr>
        <w:t>једна запослена</w:t>
      </w:r>
    </w:p>
    <w:p w:rsidR="005D58FF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7.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Шести ниво, подниво два  /ниво6,2/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8. Седми  ниво / подниво један  /ниво7,1/</w:t>
      </w:r>
      <w:r w:rsidR="003E7696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31 запослени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9.Седми  ниво / по</w:t>
      </w:r>
      <w:r w:rsidR="009B3563">
        <w:rPr>
          <w:rFonts w:ascii="Times New Roman" w:hAnsi="Times New Roman"/>
          <w:color w:val="000000"/>
          <w:sz w:val="20"/>
          <w:szCs w:val="20"/>
          <w:lang w:val="sr-Cyrl-CS"/>
        </w:rPr>
        <w:t>дниводва  /ниво7,2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/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10. Осми  ниво /ниво8/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Напомена: ниво квалификација запослених и радно ангажованих одређује се у складу са Законом о националном оквиру квалификација Републике Србије.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5.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Процена ризика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План управљања ризицима израђује се на основу процене ризика, која представља почетну фазу у процесу израде Плана управљања ризицима. Процена ризика врши се у свим радним процесима Органа јавне власти.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Проценом ризика идентификују се извори могућег угрожавања лица у процесу рада који могу да проузрокују повреду принципа родне равноправности и сагледавају могуће последице, потребе и могућности за заштиту од повреде принципа родне равноправности.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Процена степена ризика се врши уз помоћ матрице којом се ризик процењује и мери као: веома висок (црвена), висок (наранџаста), умерени (жута) и низак (зелена), на основу којих се процењује вероватноћа настанка ризика, као и последица тог ризика, према наведеној табели.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1"/>
        <w:gridCol w:w="506"/>
        <w:gridCol w:w="350"/>
        <w:gridCol w:w="567"/>
        <w:gridCol w:w="567"/>
        <w:gridCol w:w="567"/>
        <w:gridCol w:w="567"/>
        <w:gridCol w:w="567"/>
        <w:gridCol w:w="10"/>
      </w:tblGrid>
      <w:tr w:rsidR="00C270A4" w:rsidRPr="00A973E2" w:rsidTr="001124FC">
        <w:trPr>
          <w:trHeight w:val="340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Катастрофална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Последице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70A4" w:rsidRPr="00A973E2" w:rsidTr="001124FC">
        <w:trPr>
          <w:trHeight w:val="340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Озбиљна</w:t>
            </w:r>
          </w:p>
        </w:tc>
        <w:tc>
          <w:tcPr>
            <w:tcW w:w="506" w:type="dxa"/>
            <w:vMerge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70A4" w:rsidRPr="00A973E2" w:rsidTr="001124FC">
        <w:trPr>
          <w:trHeight w:val="340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Умерена</w:t>
            </w:r>
          </w:p>
        </w:tc>
        <w:tc>
          <w:tcPr>
            <w:tcW w:w="506" w:type="dxa"/>
            <w:vMerge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70A4" w:rsidRPr="00A973E2" w:rsidTr="001124FC">
        <w:trPr>
          <w:trHeight w:val="340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Мала</w:t>
            </w:r>
          </w:p>
        </w:tc>
        <w:tc>
          <w:tcPr>
            <w:tcW w:w="506" w:type="dxa"/>
            <w:vMerge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70A4" w:rsidRPr="00A973E2" w:rsidTr="001124FC">
        <w:trPr>
          <w:trHeight w:val="340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Минимална</w:t>
            </w:r>
          </w:p>
        </w:tc>
        <w:tc>
          <w:tcPr>
            <w:tcW w:w="506" w:type="dxa"/>
            <w:vMerge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70A4" w:rsidRPr="00A973E2" w:rsidTr="001124FC">
        <w:trPr>
          <w:gridAfter w:val="1"/>
          <w:wAfter w:w="10" w:type="dxa"/>
          <w:trHeight w:val="288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270A4" w:rsidRPr="00A973E2" w:rsidTr="001124FC">
        <w:trPr>
          <w:gridAfter w:val="1"/>
          <w:wAfter w:w="10" w:type="dxa"/>
          <w:trHeight w:val="161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Вероватноћа</w:t>
            </w:r>
          </w:p>
        </w:tc>
      </w:tr>
      <w:tr w:rsidR="00C270A4" w:rsidRPr="00A973E2" w:rsidTr="001124FC">
        <w:trPr>
          <w:gridAfter w:val="1"/>
          <w:wAfter w:w="10" w:type="dxa"/>
          <w:trHeight w:val="1344"/>
        </w:trPr>
        <w:tc>
          <w:tcPr>
            <w:tcW w:w="1631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270A4" w:rsidRPr="00C270A4" w:rsidRDefault="00C270A4" w:rsidP="001124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Занемарљива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Средња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Велика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270A4" w:rsidRPr="00C270A4" w:rsidRDefault="00C270A4" w:rsidP="0011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Изразито Велика</w:t>
            </w:r>
          </w:p>
        </w:tc>
      </w:tr>
    </w:tbl>
    <w:p w:rsidR="00C270A4" w:rsidRPr="00C270A4" w:rsidRDefault="00C270A4" w:rsidP="00C270A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1559"/>
      </w:tblGrid>
      <w:tr w:rsidR="00C270A4" w:rsidRPr="00A973E2" w:rsidTr="001124FC">
        <w:trPr>
          <w:trHeight w:val="288"/>
        </w:trPr>
        <w:tc>
          <w:tcPr>
            <w:tcW w:w="284" w:type="dxa"/>
            <w:shd w:val="clear" w:color="auto" w:fill="FF0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Веома висок</w:t>
            </w:r>
          </w:p>
        </w:tc>
      </w:tr>
      <w:tr w:rsidR="00C270A4" w:rsidRPr="00A973E2" w:rsidTr="001124FC">
        <w:trPr>
          <w:trHeight w:val="288"/>
        </w:trPr>
        <w:tc>
          <w:tcPr>
            <w:tcW w:w="284" w:type="dxa"/>
            <w:shd w:val="clear" w:color="auto" w:fill="FFC0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Висок</w:t>
            </w:r>
          </w:p>
        </w:tc>
      </w:tr>
      <w:tr w:rsidR="00C270A4" w:rsidRPr="00A973E2" w:rsidTr="001124FC">
        <w:trPr>
          <w:trHeight w:val="288"/>
        </w:trPr>
        <w:tc>
          <w:tcPr>
            <w:tcW w:w="284" w:type="dxa"/>
            <w:shd w:val="clear" w:color="auto" w:fill="FFFF0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Умерени</w:t>
            </w:r>
          </w:p>
        </w:tc>
      </w:tr>
      <w:tr w:rsidR="00C270A4" w:rsidRPr="00A973E2" w:rsidTr="001124FC">
        <w:trPr>
          <w:trHeight w:val="288"/>
        </w:trPr>
        <w:tc>
          <w:tcPr>
            <w:tcW w:w="284" w:type="dxa"/>
            <w:shd w:val="clear" w:color="auto" w:fill="00B050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270A4" w:rsidRPr="00C270A4" w:rsidRDefault="00C270A4" w:rsidP="0011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0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Низак</w:t>
            </w:r>
          </w:p>
        </w:tc>
      </w:tr>
    </w:tbl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Процена ризика у одређеном радном процесу врши се тако што се број запослених мање заступљеног рода у радном процесу подели са укупним бројем запослених у том радном процесу и помножи са 100. Тада се добија проценат уравнотежености полова у сектору на основу чега се може проценити ризик родне неравноправности.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Родна равноправност је заступљена ако је уравнотеженост између 40 и 50%, што значи да испод 40% постоји низак ризик родне неуравнотежености.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Процена ризика на основу које се утврђује вероватноћа настанка последице према горе наведеној табели служи да се у сваком радном процесу идентификују процеси који су нарочито изложени ризику за повреду принципа родне равноправности и то на следећи начин:</w:t>
      </w:r>
    </w:p>
    <w:p w:rsidR="00C270A4" w:rsidRPr="00C270A4" w:rsidRDefault="00C270A4" w:rsidP="00C270A4">
      <w:pPr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b/>
          <w:color w:val="000000"/>
          <w:sz w:val="20"/>
          <w:szCs w:val="20"/>
          <w:lang w:val="sr-Cyrl-CS"/>
        </w:rPr>
        <w:t>0  - 10%    веома висок ризик;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10 - 20%   висок;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20 - 30%   умерени;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30 - 40%   низак.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На основу извршене анализе утврђује се који су радни процеси нарочито изложени ризику за повреду принципа родне равноправности.</w:t>
      </w:r>
    </w:p>
    <w:p w:rsidR="00C270A4" w:rsidRPr="00C270A4" w:rsidRDefault="00C270A4" w:rsidP="006109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270A4">
        <w:rPr>
          <w:rFonts w:ascii="Times New Roman" w:hAnsi="Times New Roman"/>
          <w:color w:val="000000"/>
          <w:sz w:val="20"/>
          <w:szCs w:val="20"/>
        </w:rPr>
        <w:t>Списак области и радних процеса који су нарочито изложени ризику за повреду принципа родне равноправности, укључујући и резултате процене степена ризика у Центру су:</w:t>
      </w:r>
    </w:p>
    <w:p w:rsidR="00C270A4" w:rsidRPr="00C270A4" w:rsidRDefault="00C270A4" w:rsidP="006109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270A4">
        <w:rPr>
          <w:rFonts w:ascii="Times New Roman" w:hAnsi="Times New Roman"/>
          <w:color w:val="000000"/>
          <w:sz w:val="20"/>
          <w:szCs w:val="20"/>
        </w:rPr>
        <w:t xml:space="preserve">Родна структура Службе : </w:t>
      </w:r>
    </w:p>
    <w:p w:rsidR="00C270A4" w:rsidRPr="00C270A4" w:rsidRDefault="00334F0A" w:rsidP="006109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Укупно за</w:t>
      </w:r>
      <w:r w:rsidR="00497F7F">
        <w:rPr>
          <w:rFonts w:ascii="Times New Roman" w:hAnsi="Times New Roman"/>
          <w:color w:val="000000"/>
          <w:sz w:val="20"/>
          <w:szCs w:val="20"/>
        </w:rPr>
        <w:t>послених и радно ангажованих 4</w:t>
      </w:r>
      <w:r w:rsidR="00497F7F">
        <w:rPr>
          <w:rFonts w:ascii="Times New Roman" w:hAnsi="Times New Roman"/>
          <w:color w:val="000000"/>
          <w:sz w:val="20"/>
          <w:szCs w:val="20"/>
          <w:lang w:val="sr-Cyrl-RS"/>
        </w:rPr>
        <w:t>1</w:t>
      </w:r>
      <w:r w:rsidR="00744494">
        <w:rPr>
          <w:rFonts w:ascii="Times New Roman" w:hAnsi="Times New Roman"/>
          <w:color w:val="000000"/>
          <w:sz w:val="20"/>
          <w:szCs w:val="20"/>
          <w:lang w:val="sr-Cyrl-RS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270A4" w:rsidRPr="00C270A4">
        <w:rPr>
          <w:rFonts w:ascii="Times New Roman" w:hAnsi="Times New Roman"/>
          <w:color w:val="000000"/>
          <w:sz w:val="20"/>
          <w:szCs w:val="20"/>
        </w:rPr>
        <w:t>број</w:t>
      </w:r>
      <w:r w:rsidR="009E674D">
        <w:rPr>
          <w:rFonts w:ascii="Times New Roman" w:hAnsi="Times New Roman"/>
          <w:color w:val="000000"/>
          <w:sz w:val="20"/>
          <w:szCs w:val="20"/>
        </w:rPr>
        <w:t xml:space="preserve"> мушкараца </w:t>
      </w:r>
      <w:r w:rsidR="009E674D">
        <w:rPr>
          <w:rFonts w:ascii="Times New Roman" w:hAnsi="Times New Roman"/>
          <w:color w:val="000000"/>
          <w:sz w:val="20"/>
          <w:szCs w:val="20"/>
          <w:lang w:val="sr-Cyrl-RS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 xml:space="preserve"> (6,</w:t>
      </w:r>
      <w:r>
        <w:rPr>
          <w:rFonts w:ascii="Times New Roman" w:hAnsi="Times New Roman"/>
          <w:color w:val="000000"/>
          <w:sz w:val="20"/>
          <w:szCs w:val="20"/>
          <w:lang w:val="sr-Cyrl-RS"/>
        </w:rPr>
        <w:t xml:space="preserve">25 </w:t>
      </w:r>
      <w:r w:rsidR="009E674D">
        <w:rPr>
          <w:rFonts w:ascii="Times New Roman" w:hAnsi="Times New Roman"/>
          <w:color w:val="000000"/>
          <w:sz w:val="20"/>
          <w:szCs w:val="20"/>
        </w:rPr>
        <w:t xml:space="preserve">% ) , број жена </w:t>
      </w:r>
      <w:r w:rsidR="009E674D">
        <w:rPr>
          <w:rFonts w:ascii="Times New Roman" w:hAnsi="Times New Roman"/>
          <w:color w:val="000000"/>
          <w:sz w:val="20"/>
          <w:szCs w:val="20"/>
          <w:lang w:val="sr-Cyrl-RS"/>
        </w:rPr>
        <w:t>3</w:t>
      </w:r>
      <w:r w:rsidR="00497F7F">
        <w:rPr>
          <w:rFonts w:ascii="Times New Roman" w:hAnsi="Times New Roman"/>
          <w:color w:val="000000"/>
          <w:sz w:val="20"/>
          <w:szCs w:val="20"/>
          <w:lang w:val="sr-Cyrl-RS"/>
        </w:rPr>
        <w:t>4</w:t>
      </w:r>
      <w:r w:rsidR="00C270A4" w:rsidRPr="00C270A4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  <w:lang w:val="sr-Cyrl-RS"/>
        </w:rPr>
        <w:t>93,75</w:t>
      </w:r>
      <w:r w:rsidR="00C270A4" w:rsidRPr="00C270A4">
        <w:rPr>
          <w:rFonts w:ascii="Times New Roman" w:hAnsi="Times New Roman"/>
          <w:color w:val="000000"/>
          <w:sz w:val="20"/>
          <w:szCs w:val="20"/>
        </w:rPr>
        <w:t xml:space="preserve">%) . 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A973E2" w:rsidRDefault="00C270A4" w:rsidP="00C270A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A973E2">
        <w:rPr>
          <w:rFonts w:ascii="Times New Roman" w:hAnsi="Times New Roman"/>
          <w:color w:val="000000"/>
          <w:sz w:val="20"/>
          <w:szCs w:val="20"/>
        </w:rPr>
        <w:t>Превентивне мере којима се спречавају ризици и рокови за њихово предузимање</w:t>
      </w:r>
    </w:p>
    <w:p w:rsidR="00744494" w:rsidRDefault="0074449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Latn-CS" w:eastAsia="en-US"/>
        </w:rPr>
      </w:pP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Мере за остваривање и унапређивање родне равноправности се деле на опште мере и посебне мере.</w:t>
      </w: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пола, односно рода, или налаже одговарајуће поступање ради остваривања родне равноправности.</w:t>
      </w:r>
    </w:p>
    <w:p w:rsidR="00C270A4" w:rsidRPr="00A973E2" w:rsidRDefault="00C270A4" w:rsidP="00C270A4">
      <w:pPr>
        <w:pStyle w:val="bodytext0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Посебне мере за остваривање и унапређивање родне равноправности су активности, мере, критеријуми и праксе у складу са начелом једнаких могућности којима се обезбеђује равноправно учешће и заступљеност жена и мушкараца, посебно припадника осетљивих друштвених група, у свим сферама друштвеног живота и једнаке могућности за остваривање права и слобода.</w:t>
      </w:r>
    </w:p>
    <w:p w:rsidR="00C270A4" w:rsidRPr="00A973E2" w:rsidRDefault="00C270A4" w:rsidP="00C270A4">
      <w:pPr>
        <w:pStyle w:val="bodytext0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Приликом одређивања посебних мера морају се уважавати различити интереси, потребе и приоритети жена и мушкараца, а посебним мерама мора се обезбедити: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примена уродњавања и родно одговорног буџетирања у поступку планирања, управљања и спровођења планова, пројеката и политика;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промовисање једнаких могућности у управљању људским ресурсима;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уравнотежена заступљеност полова у управним и надзорним телима и на положајима;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уравнотежена заступљеност полова у свакој фази формулисања и спровођења политика родне равноправности;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употреба родно сензитивног језика како би се утицало на уклањање родних стереотипа при остваривању права и обавеза жена и мушкараца;</w:t>
      </w:r>
    </w:p>
    <w:p w:rsidR="00C270A4" w:rsidRPr="00A973E2" w:rsidRDefault="00C270A4" w:rsidP="00C270A4">
      <w:pPr>
        <w:pStyle w:val="bodytext0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прикупљање релевантних података разврстаних по полу и њихово достављање надлежним институцијама.</w:t>
      </w:r>
    </w:p>
    <w:p w:rsidR="00C270A4" w:rsidRPr="00A973E2" w:rsidRDefault="00C270A4" w:rsidP="00C270A4">
      <w:pPr>
        <w:pStyle w:val="bodytext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Врсте посебних мера су:</w:t>
      </w:r>
    </w:p>
    <w:p w:rsidR="00C270A4" w:rsidRPr="00A973E2" w:rsidRDefault="00C270A4" w:rsidP="00C270A4">
      <w:pPr>
        <w:pStyle w:val="bodytext0"/>
        <w:numPr>
          <w:ilvl w:val="0"/>
          <w:numId w:val="13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мере које се одређују и спроводе у случајевима осетно неуравнотежене заступљености полова;</w:t>
      </w:r>
    </w:p>
    <w:p w:rsidR="00C270A4" w:rsidRPr="00A973E2" w:rsidRDefault="00C270A4" w:rsidP="00C270A4">
      <w:pPr>
        <w:pStyle w:val="bodytext0"/>
        <w:numPr>
          <w:ilvl w:val="0"/>
          <w:numId w:val="13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подстицајне мере, којима се дају посебне погодности или уводе посебни подстицаји у циљу унапређења положаја и обезбеђивања једнаких могућности за жене и мушкарце и у свим радним процесима Центра, као и у свим областима друштвеног живота;</w:t>
      </w:r>
    </w:p>
    <w:p w:rsidR="00C270A4" w:rsidRPr="00A973E2" w:rsidRDefault="00C270A4" w:rsidP="00C270A4">
      <w:pPr>
        <w:pStyle w:val="bodytext0"/>
        <w:numPr>
          <w:ilvl w:val="0"/>
          <w:numId w:val="13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>програмске мере, којима се операционализују програми за остваривање и унапређење родне равноправности.</w:t>
      </w: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Центар 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је применио све опште мере прописане Законом о раду, а које се односе на услове рада и сва права из радног односа, образовање, оспособљавање и усавршавање, напредовање на послу и престанак радног односа. </w:t>
      </w: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Предлог мера у конкретном примеру:</w:t>
      </w: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Посебне мере 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умањити родни дисбаланс приликом запошљавања;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организовати обуке запослених о родној равноправности у сфери рада;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анализирати остале радне процесе код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Центра у џи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љу испитивања заинтересованости запослених мање заступљеног пола за обављање послова из радног процеса у којем постоји </w:t>
      </w:r>
      <w:r w:rsidRPr="00A973E2">
        <w:rPr>
          <w:rFonts w:ascii="Times New Roman" w:hAnsi="Times New Roman"/>
          <w:color w:val="000000"/>
          <w:sz w:val="20"/>
          <w:szCs w:val="20"/>
        </w:rPr>
        <w:t>веома висок ризик од повреде принципа родне равноправности;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</w:rPr>
        <w:t>пратити оптерећење запослених бројем и врстама задужења с посебним освртом на оптерећење које у радном процесу имају запослени мање заступљеног пола;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континуирано пратити појединачна радна оптерећења запослених и вршити прерасподелу посла у складу са кадровским могућностима;</w:t>
      </w:r>
    </w:p>
    <w:p w:rsidR="00C270A4" w:rsidRPr="00A973E2" w:rsidRDefault="00C270A4" w:rsidP="00C270A4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организовати разговоре са запосленима који обавесте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Центар 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о престанку радног односа о разлозима престанка.</w:t>
      </w: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Предлози посебних мера у процесима рада који су нарочито изложени ризику за повреду принципа родне равноправности (прилагодити конкретном случају у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Центру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):</w:t>
      </w:r>
    </w:p>
    <w:p w:rsidR="00C270A4" w:rsidRPr="00A973E2" w:rsidRDefault="00C270A4" w:rsidP="00C270A4">
      <w:pPr>
        <w:spacing w:after="0" w:line="240" w:lineRule="auto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sr-Latn-CS" w:eastAsia="en-US"/>
        </w:rPr>
        <w:t>1.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обезбеђивање ресурса за укључивање родне равноправности у целокупно деловање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Центра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:</w:t>
      </w:r>
    </w:p>
    <w:p w:rsidR="00C270A4" w:rsidRPr="00A973E2" w:rsidRDefault="00C270A4" w:rsidP="00C270A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унапређивање родне инклузивности у свим процесима рада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Центра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;</w:t>
      </w:r>
    </w:p>
    <w:p w:rsidR="00C270A4" w:rsidRPr="00A973E2" w:rsidRDefault="00C270A4" w:rsidP="00C270A4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подстицати запослене да укључе родну димензију у радне процесе које обављају;</w:t>
      </w:r>
    </w:p>
    <w:p w:rsidR="00C270A4" w:rsidRPr="00A973E2" w:rsidRDefault="00C270A4" w:rsidP="00C270A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sr-Latn-CS" w:eastAsia="en-US"/>
        </w:rPr>
      </w:pPr>
    </w:p>
    <w:p w:rsidR="00C270A4" w:rsidRPr="00A973E2" w:rsidRDefault="00C270A4" w:rsidP="00C270A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sr-Latn-CS" w:eastAsia="en-US"/>
        </w:rPr>
        <w:t>2.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мере за подршку усклађивања породичног и професионалног живота:</w:t>
      </w:r>
    </w:p>
    <w:p w:rsidR="00C270A4" w:rsidRPr="00A973E2" w:rsidRDefault="00C270A4" w:rsidP="00C270A4">
      <w:pPr>
        <w:pStyle w:val="ListParagrap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обезбеђивање усклађености породичног и професионалног живота, а посебно лакше остваривање права и обавеза запослених који су неговатељи члана уже породице или члана домаћинства;</w:t>
      </w:r>
    </w:p>
    <w:p w:rsidR="00C270A4" w:rsidRPr="00A973E2" w:rsidRDefault="00C270A4" w:rsidP="00C270A4">
      <w:pPr>
        <w:pStyle w:val="ListParagrap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у складу са потребама процеса рада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Центра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 и расположивим људским ресурсима применити одредбе Закона о раду и општих аката послодавца које омогућавају овим запосленим и радно ангажованим лицима другачији распоред радног врема, рад од куће и друго;</w:t>
      </w:r>
    </w:p>
    <w:p w:rsidR="00C270A4" w:rsidRPr="00A973E2" w:rsidRDefault="00C270A4" w:rsidP="00C270A4">
      <w:pPr>
        <w:pStyle w:val="ListParagrap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пратити рад запослених по повратку са одсуства и спречити могућа оптерећења приликом расподеле радних задатака;</w:t>
      </w:r>
    </w:p>
    <w:p w:rsidR="00C270A4" w:rsidRPr="00A973E2" w:rsidRDefault="00C270A4" w:rsidP="00C270A4">
      <w:pPr>
        <w:pStyle w:val="ListParagrap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организовати разговоре са запосленима који обавесте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Центар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 о престанку радног односа о разлозима престанка;</w:t>
      </w:r>
    </w:p>
    <w:p w:rsidR="00C270A4" w:rsidRPr="00A973E2" w:rsidRDefault="00C270A4" w:rsidP="00C270A4">
      <w:pPr>
        <w:pStyle w:val="ListParagrap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 xml:space="preserve">прикупљене информације користити у сврху унапређења положаја запослених и радне атмосфере у 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>Центру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;</w:t>
      </w:r>
    </w:p>
    <w:p w:rsidR="00C270A4" w:rsidRPr="00A973E2" w:rsidRDefault="00C270A4" w:rsidP="00C270A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sr-Latn-CS" w:eastAsia="en-US"/>
        </w:rPr>
      </w:pP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sr-Latn-CS" w:eastAsia="en-US"/>
        </w:rPr>
        <w:t>3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мере против родно заснованог насиља, укључујући и сексуално узнемиравање, злостављање и уцењивање:</w:t>
      </w:r>
    </w:p>
    <w:p w:rsidR="00C270A4" w:rsidRPr="00A973E2" w:rsidRDefault="00C270A4" w:rsidP="00C270A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информисање запослених о законским и подзаконским прописима који прописује мере против родно заснованог насиља, укључујући и сексуално узнемиравање, злостављање и уцењивање;</w:t>
      </w:r>
    </w:p>
    <w:p w:rsidR="00C270A4" w:rsidRPr="00A973E2" w:rsidRDefault="00C270A4" w:rsidP="00C270A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организовање обука запослених у ову сврху</w:t>
      </w:r>
      <w:r w:rsidRPr="00A973E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у Центру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;</w:t>
      </w:r>
    </w:p>
    <w:p w:rsidR="00C270A4" w:rsidRPr="00A973E2" w:rsidRDefault="00C270A4" w:rsidP="00C270A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санкицонисање недозвољених понашања запослених;</w:t>
      </w:r>
    </w:p>
    <w:p w:rsidR="00C270A4" w:rsidRPr="00A973E2" w:rsidRDefault="00C270A4" w:rsidP="00C270A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lastRenderedPageBreak/>
        <w:t>уређивање постојећих општих аката и доношење нових који уређују спречавање родно заснованог насиља, укључујући и сексуално узнемиравање, злостављање и уцењивање;</w:t>
      </w:r>
    </w:p>
    <w:p w:rsidR="00C270A4" w:rsidRPr="00A973E2" w:rsidRDefault="00C270A4" w:rsidP="00C270A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sr-Latn-CS" w:eastAsia="en-US"/>
        </w:rPr>
      </w:pPr>
    </w:p>
    <w:p w:rsidR="00C270A4" w:rsidRPr="00A973E2" w:rsidRDefault="00C270A4" w:rsidP="00C270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sr-Latn-CS" w:eastAsia="en-US"/>
        </w:rPr>
        <w:t>4.</w:t>
      </w:r>
      <w:r w:rsidRPr="00A973E2">
        <w:rPr>
          <w:rFonts w:ascii="Times New Roman" w:hAnsi="Times New Roman"/>
          <w:color w:val="000000"/>
          <w:sz w:val="20"/>
          <w:szCs w:val="20"/>
          <w:lang w:val="sr-Latn-CS" w:eastAsia="en-US"/>
        </w:rPr>
        <w:t>употреба родно заснованог језика;</w:t>
      </w:r>
    </w:p>
    <w:p w:rsidR="00C270A4" w:rsidRPr="00A973E2" w:rsidRDefault="00C270A4" w:rsidP="00C270A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70A4" w:rsidRPr="001D68AA" w:rsidRDefault="00C270A4" w:rsidP="00C270A4">
      <w:pPr>
        <w:pStyle w:val="bodytext0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A973E2">
        <w:rPr>
          <w:rFonts w:ascii="Times New Roman" w:hAnsi="Times New Roman" w:cs="Times New Roman"/>
          <w:color w:val="000000"/>
          <w:sz w:val="20"/>
          <w:szCs w:val="20"/>
        </w:rPr>
        <w:t xml:space="preserve">Посебне мере примењују се док се не постигне циљ због којег су прописане, а то је родна уравнотеженост у процесима рада. 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F2BBD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8.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  <w:t>Подаци о лицима одговорним за спровођење м</w:t>
      </w:r>
      <w:r w:rsidR="00744494">
        <w:rPr>
          <w:rFonts w:ascii="Times New Roman" w:hAnsi="Times New Roman"/>
          <w:color w:val="000000"/>
          <w:sz w:val="20"/>
          <w:szCs w:val="20"/>
          <w:lang w:val="sr-Cyrl-CS"/>
        </w:rPr>
        <w:t>ера из Плана управљања ризицима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Лица одговорна за спровођење мера из Плана управљања ризицима:</w:t>
      </w: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5D58FF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1.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</w:r>
      <w:r w:rsidR="006109F5">
        <w:rPr>
          <w:rFonts w:ascii="Times New Roman" w:hAnsi="Times New Roman"/>
          <w:color w:val="000000"/>
          <w:sz w:val="20"/>
          <w:szCs w:val="20"/>
          <w:lang w:val="sr-Cyrl-CS"/>
        </w:rPr>
        <w:t>Јадранка Стојановић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директор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ка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у Центру за социјални рад </w:t>
      </w:r>
      <w:r w:rsidR="006109F5">
        <w:rPr>
          <w:rFonts w:ascii="Times New Roman" w:hAnsi="Times New Roman"/>
          <w:color w:val="000000"/>
          <w:sz w:val="20"/>
          <w:szCs w:val="20"/>
          <w:lang w:val="sr-Cyrl-CS"/>
        </w:rPr>
        <w:t>Врање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, тел:</w:t>
      </w:r>
      <w:r w:rsidR="006109F5">
        <w:rPr>
          <w:rFonts w:ascii="Times New Roman" w:hAnsi="Times New Roman"/>
          <w:color w:val="000000"/>
          <w:sz w:val="20"/>
          <w:szCs w:val="20"/>
          <w:lang w:val="sr-Cyrl-CS"/>
        </w:rPr>
        <w:t>017/423-905, Емаил:</w:t>
      </w:r>
      <w:r w:rsidR="006109F5">
        <w:rPr>
          <w:rFonts w:ascii="Times New Roman" w:hAnsi="Times New Roman"/>
          <w:color w:val="000000"/>
          <w:sz w:val="20"/>
          <w:szCs w:val="20"/>
          <w:lang w:val="en-US"/>
        </w:rPr>
        <w:t>vranje</w:t>
      </w:r>
      <w:r w:rsidR="005D58FF">
        <w:rPr>
          <w:rFonts w:ascii="Times New Roman" w:hAnsi="Times New Roman"/>
          <w:color w:val="000000"/>
          <w:sz w:val="20"/>
          <w:szCs w:val="20"/>
        </w:rPr>
        <w:t>.csr</w:t>
      </w:r>
      <w:r w:rsidR="00807215">
        <w:rPr>
          <w:rFonts w:ascii="Times New Roman" w:hAnsi="Times New Roman"/>
          <w:color w:val="000000"/>
          <w:sz w:val="20"/>
          <w:szCs w:val="20"/>
          <w:lang w:val="en-US"/>
        </w:rPr>
        <w:t>@min rz</w:t>
      </w:r>
      <w:r w:rsidR="005D58FF">
        <w:rPr>
          <w:rFonts w:ascii="Times New Roman" w:hAnsi="Times New Roman"/>
          <w:color w:val="000000"/>
          <w:sz w:val="20"/>
          <w:szCs w:val="20"/>
          <w:lang w:val="en-US"/>
        </w:rPr>
        <w:t>s.gov.rs</w:t>
      </w:r>
    </w:p>
    <w:p w:rsidR="00C270A4" w:rsidRPr="006109F5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2.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ab/>
      </w:r>
      <w:r w:rsidR="006109F5">
        <w:rPr>
          <w:rFonts w:ascii="Times New Roman" w:hAnsi="Times New Roman"/>
          <w:color w:val="000000"/>
          <w:sz w:val="20"/>
          <w:szCs w:val="20"/>
          <w:lang w:val="sr-Cyrl-RS"/>
        </w:rPr>
        <w:t>Јелена Стошић</w:t>
      </w:r>
      <w:r w:rsidR="005D58FF">
        <w:rPr>
          <w:rFonts w:ascii="Times New Roman" w:hAnsi="Times New Roman"/>
          <w:color w:val="000000"/>
          <w:sz w:val="20"/>
          <w:szCs w:val="20"/>
          <w:lang w:val="sr-Cyrl-RS"/>
        </w:rPr>
        <w:t xml:space="preserve">,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</w:t>
      </w:r>
      <w:r w:rsidR="00334F0A">
        <w:rPr>
          <w:rFonts w:ascii="Times New Roman" w:hAnsi="Times New Roman"/>
          <w:color w:val="000000"/>
          <w:sz w:val="20"/>
          <w:szCs w:val="20"/>
          <w:lang w:val="sr-Cyrl-CS"/>
        </w:rPr>
        <w:t>координат</w:t>
      </w:r>
      <w:r w:rsidR="005D58FF">
        <w:rPr>
          <w:rFonts w:ascii="Times New Roman" w:hAnsi="Times New Roman"/>
          <w:color w:val="000000"/>
          <w:sz w:val="20"/>
          <w:szCs w:val="20"/>
          <w:lang w:val="sr-Cyrl-CS"/>
        </w:rPr>
        <w:t>ор, стручни радник на управно правним пословима,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број телефона </w:t>
      </w:r>
      <w:r w:rsidR="002274E3">
        <w:rPr>
          <w:rFonts w:ascii="Times New Roman" w:hAnsi="Times New Roman"/>
          <w:color w:val="000000"/>
          <w:sz w:val="20"/>
          <w:szCs w:val="20"/>
          <w:lang w:val="sr-Cyrl-CS"/>
        </w:rPr>
        <w:t>017/423-905</w:t>
      </w:r>
      <w:r w:rsidR="00B37919">
        <w:rPr>
          <w:rFonts w:ascii="Times New Roman" w:hAnsi="Times New Roman"/>
          <w:color w:val="000000"/>
          <w:sz w:val="20"/>
          <w:szCs w:val="20"/>
          <w:lang w:val="sr-Cyrl-CS"/>
        </w:rPr>
        <w:t>, Емаил</w:t>
      </w:r>
      <w:r w:rsidR="003C3ADF">
        <w:rPr>
          <w:rFonts w:ascii="Times New Roman" w:hAnsi="Times New Roman"/>
          <w:color w:val="000000"/>
          <w:sz w:val="20"/>
          <w:szCs w:val="20"/>
          <w:lang w:val="sr-Cyrl-CS"/>
        </w:rPr>
        <w:t xml:space="preserve">: </w:t>
      </w:r>
      <w:r w:rsidR="006109F5">
        <w:rPr>
          <w:rFonts w:ascii="Times New Roman" w:hAnsi="Times New Roman"/>
          <w:color w:val="000000"/>
          <w:sz w:val="20"/>
          <w:szCs w:val="20"/>
          <w:lang w:val="en-US"/>
        </w:rPr>
        <w:t>vranje</w:t>
      </w:r>
      <w:r w:rsidR="006109F5">
        <w:rPr>
          <w:rFonts w:ascii="Times New Roman" w:hAnsi="Times New Roman"/>
          <w:color w:val="000000"/>
          <w:sz w:val="20"/>
          <w:szCs w:val="20"/>
        </w:rPr>
        <w:t>.csr</w:t>
      </w:r>
      <w:r w:rsidR="006109F5">
        <w:rPr>
          <w:rFonts w:ascii="Times New Roman" w:hAnsi="Times New Roman"/>
          <w:color w:val="000000"/>
          <w:sz w:val="20"/>
          <w:szCs w:val="20"/>
          <w:lang w:val="en-US"/>
        </w:rPr>
        <w:t>@min rzs.gov.rs</w:t>
      </w:r>
    </w:p>
    <w:p w:rsidR="00C270A4" w:rsidRPr="006109F5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:rsidR="00C270A4" w:rsidRPr="00C270A4" w:rsidRDefault="00C270A4" w:rsidP="006109F5">
      <w:pPr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                                                                            </w:t>
      </w:r>
      <w:r w:rsidR="003C3ADF">
        <w:rPr>
          <w:rFonts w:ascii="Times New Roman" w:hAnsi="Times New Roman"/>
          <w:color w:val="000000"/>
          <w:sz w:val="20"/>
          <w:szCs w:val="20"/>
          <w:lang w:val="en-US"/>
        </w:rPr>
        <w:t xml:space="preserve">                                                  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Д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>иректор</w:t>
      </w:r>
      <w:r w:rsidR="00384AF6">
        <w:rPr>
          <w:rFonts w:ascii="Times New Roman" w:hAnsi="Times New Roman"/>
          <w:color w:val="000000"/>
          <w:sz w:val="20"/>
          <w:szCs w:val="20"/>
          <w:lang w:val="sr-Cyrl-CS"/>
        </w:rPr>
        <w:t>ка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                                                                     </w:t>
      </w:r>
      <w:r w:rsidR="003C3ADF">
        <w:rPr>
          <w:rFonts w:ascii="Times New Roman" w:hAnsi="Times New Roman"/>
          <w:color w:val="000000"/>
          <w:sz w:val="20"/>
          <w:szCs w:val="20"/>
          <w:lang w:val="en-US"/>
        </w:rPr>
        <w:t xml:space="preserve">                                                    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</w:t>
      </w:r>
      <w:r w:rsidR="006109F5">
        <w:rPr>
          <w:rFonts w:ascii="Times New Roman" w:hAnsi="Times New Roman"/>
          <w:color w:val="000000"/>
          <w:sz w:val="20"/>
          <w:szCs w:val="20"/>
          <w:lang w:val="sr-Cyrl-RS"/>
        </w:rPr>
        <w:t>Јадранка Стојановић</w:t>
      </w:r>
      <w:r w:rsidRPr="00C270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                                                                        </w:t>
      </w: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270A4" w:rsidRPr="00C270A4" w:rsidRDefault="00C270A4" w:rsidP="00C270A4">
      <w:pPr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CB00D7" w:rsidRDefault="00CB00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B00D7" w:rsidRPr="001A7E61" w:rsidRDefault="00CB00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CB00D7" w:rsidRPr="001A7E61">
      <w:footerReference w:type="default" r:id="rId10"/>
      <w:pgSz w:w="11906" w:h="16838"/>
      <w:pgMar w:top="1418" w:right="1418" w:bottom="1418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F5" w:rsidRDefault="00A435F5">
      <w:pPr>
        <w:spacing w:after="0" w:line="240" w:lineRule="auto"/>
      </w:pPr>
      <w:r>
        <w:separator/>
      </w:r>
    </w:p>
  </w:endnote>
  <w:endnote w:type="continuationSeparator" w:id="0">
    <w:p w:rsidR="00A435F5" w:rsidRDefault="00A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D7" w:rsidRDefault="00CB00D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3453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F5" w:rsidRDefault="00A435F5">
      <w:pPr>
        <w:spacing w:after="0" w:line="240" w:lineRule="auto"/>
      </w:pPr>
      <w:r>
        <w:separator/>
      </w:r>
    </w:p>
  </w:footnote>
  <w:footnote w:type="continuationSeparator" w:id="0">
    <w:p w:rsidR="00A435F5" w:rsidRDefault="00A4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6032FB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/>
        <w:bCs/>
        <w:sz w:val="24"/>
        <w:szCs w:val="24"/>
        <w:lang w:val="sr-Latn-C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Latn-CS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val="sr-Latn-CS" w:eastAsia="en-U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val="sr-Latn-CS" w:eastAsia="en-US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/>
        <w:sz w:val="24"/>
        <w:szCs w:val="24"/>
        <w:lang w:val="sr-Latn-CS" w:eastAsia="en-U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val="sr-Latn-CS" w:eastAsia="en-U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/>
        <w:sz w:val="24"/>
        <w:szCs w:val="24"/>
        <w:lang w:val="sr-Latn-CS" w:eastAsia="en-US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0A"/>
    <w:rsid w:val="000A1497"/>
    <w:rsid w:val="000D5337"/>
    <w:rsid w:val="001124FC"/>
    <w:rsid w:val="001A7E61"/>
    <w:rsid w:val="001B4294"/>
    <w:rsid w:val="001D68AA"/>
    <w:rsid w:val="002274E3"/>
    <w:rsid w:val="002708D1"/>
    <w:rsid w:val="00317AB5"/>
    <w:rsid w:val="00334F0A"/>
    <w:rsid w:val="00360C56"/>
    <w:rsid w:val="00384AF6"/>
    <w:rsid w:val="003C3ADF"/>
    <w:rsid w:val="003D0A9C"/>
    <w:rsid w:val="003E7696"/>
    <w:rsid w:val="0042731A"/>
    <w:rsid w:val="00447E38"/>
    <w:rsid w:val="004957A5"/>
    <w:rsid w:val="00496953"/>
    <w:rsid w:val="00497F7F"/>
    <w:rsid w:val="004E7661"/>
    <w:rsid w:val="004F4076"/>
    <w:rsid w:val="00574715"/>
    <w:rsid w:val="005D58FF"/>
    <w:rsid w:val="006109F5"/>
    <w:rsid w:val="00630AF8"/>
    <w:rsid w:val="006479C7"/>
    <w:rsid w:val="006501C7"/>
    <w:rsid w:val="00662153"/>
    <w:rsid w:val="00744494"/>
    <w:rsid w:val="00766E32"/>
    <w:rsid w:val="007E5B22"/>
    <w:rsid w:val="00807215"/>
    <w:rsid w:val="00934C46"/>
    <w:rsid w:val="009A059B"/>
    <w:rsid w:val="009A1AC5"/>
    <w:rsid w:val="009B3563"/>
    <w:rsid w:val="009D2BCF"/>
    <w:rsid w:val="009E674D"/>
    <w:rsid w:val="00A435F5"/>
    <w:rsid w:val="00A52B0A"/>
    <w:rsid w:val="00A570A0"/>
    <w:rsid w:val="00A64F47"/>
    <w:rsid w:val="00AA0937"/>
    <w:rsid w:val="00AB0DA0"/>
    <w:rsid w:val="00B14FE2"/>
    <w:rsid w:val="00B37919"/>
    <w:rsid w:val="00B701C4"/>
    <w:rsid w:val="00C03FC2"/>
    <w:rsid w:val="00C270A4"/>
    <w:rsid w:val="00C50162"/>
    <w:rsid w:val="00CB00D7"/>
    <w:rsid w:val="00CF2BBD"/>
    <w:rsid w:val="00D464CB"/>
    <w:rsid w:val="00D53547"/>
    <w:rsid w:val="00D65B43"/>
    <w:rsid w:val="00DB38A6"/>
    <w:rsid w:val="00DF5261"/>
    <w:rsid w:val="00E34538"/>
    <w:rsid w:val="00E5543F"/>
    <w:rsid w:val="00E620C4"/>
    <w:rsid w:val="00E70512"/>
    <w:rsid w:val="00EE0A28"/>
    <w:rsid w:val="00EF20D0"/>
    <w:rsid w:val="00EF3FCF"/>
    <w:rsid w:val="00F12D19"/>
    <w:rsid w:val="00F513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b/>
      <w:bCs/>
      <w:sz w:val="24"/>
      <w:szCs w:val="24"/>
      <w:lang w:val="sr-Latn-C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lang w:val="sr-Latn-C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 w:hint="default"/>
      <w:i/>
      <w:sz w:val="24"/>
      <w:szCs w:val="24"/>
      <w:lang w:val="sr-Latn-CS" w:eastAsia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hAnsi="Arial" w:cs="Arial" w:hint="default"/>
      <w:i/>
      <w:sz w:val="24"/>
      <w:szCs w:val="24"/>
      <w:lang w:val="sr-Latn-CS" w:eastAsia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Bodytext2ArialNarrow15pt">
    <w:name w:val="Body text (2) + Arial Narrow;15 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</w:rPr>
  </w:style>
  <w:style w:type="character" w:customStyle="1" w:styleId="Tablecaption">
    <w:name w:val="Table caption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ylfaenItalic">
    <w:name w:val="Body text (2) + Sylfaen;Italic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Bodytext2TrebuchetMS12pt">
    <w:name w:val="Body text (2) + Trebuchet MS;12 pt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aption0">
    <w:name w:val="Table caption"/>
    <w:basedOn w:val="Normal"/>
    <w:pPr>
      <w:widowControl w:val="0"/>
      <w:shd w:val="clear" w:color="auto" w:fill="FFFFFF"/>
      <w:spacing w:after="0" w:line="0" w:lineRule="atLeast"/>
      <w:ind w:hanging="62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bodytext0">
    <w:name w:val="bodytext"/>
    <w:basedOn w:val="Normal"/>
    <w:pPr>
      <w:spacing w:before="280" w:after="280" w:line="240" w:lineRule="auto"/>
    </w:pPr>
    <w:rPr>
      <w:rFonts w:ascii="Arial" w:eastAsia="Times New Roman" w:hAnsi="Arial" w:cs="Arial"/>
      <w:lang w:val="en-US"/>
    </w:rPr>
  </w:style>
  <w:style w:type="paragraph" w:customStyle="1" w:styleId="clan">
    <w:name w:val="clan"/>
    <w:basedOn w:val="Normal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med2">
    <w:name w:val="med2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C270A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ubtleEmphasis">
    <w:name w:val="Subtle Emphasis"/>
    <w:uiPriority w:val="19"/>
    <w:qFormat/>
    <w:rsid w:val="00C270A4"/>
    <w:rPr>
      <w:i/>
      <w:iCs/>
      <w:color w:val="808080"/>
    </w:rPr>
  </w:style>
  <w:style w:type="character" w:styleId="Hyperlink">
    <w:name w:val="Hyperlink"/>
    <w:uiPriority w:val="99"/>
    <w:unhideWhenUsed/>
    <w:rsid w:val="00C270A4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C2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b/>
      <w:bCs/>
      <w:sz w:val="24"/>
      <w:szCs w:val="24"/>
      <w:lang w:val="sr-Latn-C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lang w:val="sr-Latn-C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 w:hint="default"/>
      <w:i/>
      <w:sz w:val="24"/>
      <w:szCs w:val="24"/>
      <w:lang w:val="sr-Latn-CS" w:eastAsia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4"/>
      <w:szCs w:val="24"/>
      <w:lang w:val="sr-Latn-CS"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hAnsi="Arial" w:cs="Arial" w:hint="default"/>
      <w:i/>
      <w:sz w:val="24"/>
      <w:szCs w:val="24"/>
      <w:lang w:val="sr-Latn-CS" w:eastAsia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Bodytext2ArialNarrow15pt">
    <w:name w:val="Body text (2) + Arial Narrow;15 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</w:rPr>
  </w:style>
  <w:style w:type="character" w:customStyle="1" w:styleId="Tablecaption">
    <w:name w:val="Table caption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ylfaenItalic">
    <w:name w:val="Body text (2) + Sylfaen;Italic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Bodytext2TrebuchetMS12pt">
    <w:name w:val="Body text (2) + Trebuchet MS;12 pt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aption0">
    <w:name w:val="Table caption"/>
    <w:basedOn w:val="Normal"/>
    <w:pPr>
      <w:widowControl w:val="0"/>
      <w:shd w:val="clear" w:color="auto" w:fill="FFFFFF"/>
      <w:spacing w:after="0" w:line="0" w:lineRule="atLeast"/>
      <w:ind w:hanging="62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bodytext0">
    <w:name w:val="bodytext"/>
    <w:basedOn w:val="Normal"/>
    <w:pPr>
      <w:spacing w:before="280" w:after="280" w:line="240" w:lineRule="auto"/>
    </w:pPr>
    <w:rPr>
      <w:rFonts w:ascii="Arial" w:eastAsia="Times New Roman" w:hAnsi="Arial" w:cs="Arial"/>
      <w:lang w:val="en-US"/>
    </w:rPr>
  </w:style>
  <w:style w:type="paragraph" w:customStyle="1" w:styleId="clan">
    <w:name w:val="clan"/>
    <w:basedOn w:val="Normal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med2">
    <w:name w:val="med2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C270A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ubtleEmphasis">
    <w:name w:val="Subtle Emphasis"/>
    <w:uiPriority w:val="19"/>
    <w:qFormat/>
    <w:rsid w:val="00C270A4"/>
    <w:rPr>
      <w:i/>
      <w:iCs/>
      <w:color w:val="808080"/>
    </w:rPr>
  </w:style>
  <w:style w:type="character" w:styleId="Hyperlink">
    <w:name w:val="Hyperlink"/>
    <w:uiPriority w:val="99"/>
    <w:unhideWhenUsed/>
    <w:rsid w:val="00C270A4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C2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explosion val="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Sheet1!$A$2:$A$5</c:f>
              <c:strCache>
                <c:ptCount val="2"/>
                <c:pt idx="0">
                  <c:v>жене</c:v>
                </c:pt>
                <c:pt idx="1">
                  <c:v>мушкарци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93.75</c:v>
                </c:pt>
                <c:pt idx="1">
                  <c:v>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59EC-9B2B-4435-A767-9895608D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upravljanja rizicima od povrede principa rodne ravnopravnosti</vt:lpstr>
    </vt:vector>
  </TitlesOfParts>
  <Company>Javna Ustanova Centar za socijalni rad u Vranju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upravljanja rizicima od povrede principa rodne ravnopravnosti</dc:title>
  <dc:creator>IPC</dc:creator>
  <cp:lastModifiedBy>Ljubisa Krstic</cp:lastModifiedBy>
  <cp:revision>2</cp:revision>
  <cp:lastPrinted>2023-12-29T06:23:00Z</cp:lastPrinted>
  <dcterms:created xsi:type="dcterms:W3CDTF">2024-12-27T09:40:00Z</dcterms:created>
  <dcterms:modified xsi:type="dcterms:W3CDTF">2024-12-27T09:40:00Z</dcterms:modified>
</cp:coreProperties>
</file>